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FF4FF" w14:textId="2AD39765" w:rsidR="00313E34" w:rsidRPr="00930D69" w:rsidRDefault="00DD6CBE" w:rsidP="006155FA">
      <w:pPr>
        <w:spacing w:before="240" w:line="276" w:lineRule="auto"/>
        <w:contextualSpacing/>
        <w:jc w:val="right"/>
        <w:rPr>
          <w:rFonts w:cs="Times New Roman"/>
          <w:b/>
          <w:sz w:val="28"/>
          <w:szCs w:val="28"/>
        </w:rPr>
      </w:pPr>
      <w:r>
        <w:rPr>
          <w:rFonts w:cs="Times New Roman"/>
          <w:b/>
          <w:sz w:val="28"/>
          <w:szCs w:val="28"/>
        </w:rPr>
        <w:t>S</w:t>
      </w:r>
      <w:r w:rsidR="00DD531A" w:rsidRPr="00DD6CBE">
        <w:rPr>
          <w:rFonts w:cs="Times New Roman"/>
          <w:b/>
          <w:sz w:val="28"/>
          <w:szCs w:val="28"/>
        </w:rPr>
        <w:t>SM</w:t>
      </w:r>
      <w:r>
        <w:rPr>
          <w:rFonts w:cs="Times New Roman"/>
          <w:b/>
          <w:sz w:val="28"/>
          <w:szCs w:val="28"/>
        </w:rPr>
        <w:t>S</w:t>
      </w:r>
      <w:r w:rsidR="00C62CA3" w:rsidRPr="00DD6CBE">
        <w:rPr>
          <w:rFonts w:cs="Times New Roman"/>
          <w:b/>
          <w:sz w:val="28"/>
          <w:szCs w:val="28"/>
        </w:rPr>
        <w:t>-Vol.</w:t>
      </w:r>
      <w:r>
        <w:rPr>
          <w:rFonts w:cs="Times New Roman"/>
          <w:b/>
          <w:sz w:val="28"/>
          <w:szCs w:val="28"/>
        </w:rPr>
        <w:t>3</w:t>
      </w:r>
      <w:r w:rsidR="00C62CA3" w:rsidRPr="00DD6CBE">
        <w:rPr>
          <w:rFonts w:cs="Times New Roman"/>
          <w:b/>
          <w:sz w:val="28"/>
          <w:szCs w:val="28"/>
        </w:rPr>
        <w:t>. N</w:t>
      </w:r>
      <w:r>
        <w:rPr>
          <w:rFonts w:cs="Times New Roman"/>
          <w:b/>
          <w:sz w:val="28"/>
          <w:szCs w:val="28"/>
        </w:rPr>
        <w:t>1</w:t>
      </w:r>
      <w:r w:rsidR="00C62CA3" w:rsidRPr="00DD6CBE">
        <w:rPr>
          <w:rFonts w:cs="Times New Roman"/>
          <w:b/>
          <w:sz w:val="28"/>
          <w:szCs w:val="28"/>
        </w:rPr>
        <w:t>. 00</w:t>
      </w:r>
      <w:r>
        <w:rPr>
          <w:rFonts w:cs="Times New Roman"/>
          <w:b/>
          <w:sz w:val="28"/>
          <w:szCs w:val="28"/>
        </w:rPr>
        <w:t>62</w:t>
      </w:r>
    </w:p>
    <w:p w14:paraId="6E3BB551" w14:textId="3A97F39C" w:rsidR="00AC10E8" w:rsidRPr="00930D69" w:rsidRDefault="002B1414" w:rsidP="006155FA">
      <w:pPr>
        <w:spacing w:line="276" w:lineRule="auto"/>
        <w:rPr>
          <w:rFonts w:cs="Times New Roman"/>
          <w:b/>
          <w:bCs/>
          <w:sz w:val="28"/>
          <w:szCs w:val="28"/>
        </w:rPr>
      </w:pPr>
      <w:bookmarkStart w:id="0" w:name="_Hlk213447081"/>
      <w:r w:rsidRPr="002B1414">
        <w:rPr>
          <w:rFonts w:cs="Times New Roman"/>
          <w:b/>
          <w:bCs/>
          <w:sz w:val="28"/>
          <w:szCs w:val="28"/>
        </w:rPr>
        <w:t>Prevalencia de elevación de transaminasas como indicador de sospecha de MAFLD en estudiantes de Medicina con peso normal</w:t>
      </w:r>
    </w:p>
    <w:bookmarkEnd w:id="0"/>
    <w:p w14:paraId="5EF266A0" w14:textId="1605AAFA" w:rsidR="009322EE" w:rsidRPr="002B1414" w:rsidRDefault="002B1414" w:rsidP="006155FA">
      <w:pPr>
        <w:spacing w:line="276" w:lineRule="auto"/>
        <w:rPr>
          <w:rFonts w:cs="Times New Roman"/>
          <w:b/>
          <w:i/>
          <w:iCs/>
          <w:color w:val="FF0000"/>
          <w:sz w:val="28"/>
          <w:szCs w:val="28"/>
          <w:lang w:val="en-US"/>
        </w:rPr>
      </w:pPr>
      <w:r w:rsidRPr="002B1414">
        <w:rPr>
          <w:rFonts w:cs="Times New Roman"/>
          <w:b/>
          <w:i/>
          <w:iCs/>
          <w:color w:val="FF0000"/>
          <w:sz w:val="28"/>
          <w:szCs w:val="28"/>
          <w:lang w:val="en-US"/>
        </w:rPr>
        <w:t>Prevalence of Elevated Transaminases as an Indicator of Suspected MAFLD in Normal-Weight Medical Students</w:t>
      </w:r>
    </w:p>
    <w:p w14:paraId="46F9C6EF" w14:textId="74ABEF83" w:rsidR="003D4D92" w:rsidRPr="00930D69" w:rsidRDefault="003D4D92" w:rsidP="006155FA">
      <w:pPr>
        <w:spacing w:line="240" w:lineRule="auto"/>
        <w:jc w:val="right"/>
        <w:rPr>
          <w:rFonts w:eastAsia="Times New Roman" w:cs="Times New Roman"/>
          <w:b/>
          <w:sz w:val="22"/>
          <w:szCs w:val="20"/>
        </w:rPr>
      </w:pPr>
      <w:r w:rsidRPr="00930D69">
        <w:rPr>
          <w:rFonts w:eastAsia="Times New Roman" w:cs="Times New Roman"/>
          <w:b/>
          <w:sz w:val="22"/>
          <w:szCs w:val="20"/>
        </w:rPr>
        <w:t>Autores:</w:t>
      </w:r>
    </w:p>
    <w:p w14:paraId="6F608F66" w14:textId="77777777" w:rsidR="003E7BC7" w:rsidRPr="00930D69" w:rsidRDefault="003E7BC7" w:rsidP="003E7BC7">
      <w:pPr>
        <w:spacing w:line="240" w:lineRule="auto"/>
        <w:jc w:val="right"/>
        <w:rPr>
          <w:rFonts w:cs="Times New Roman"/>
          <w:color w:val="000000"/>
          <w:sz w:val="22"/>
          <w:szCs w:val="20"/>
        </w:rPr>
      </w:pPr>
      <w:r w:rsidRPr="00215B41">
        <w:rPr>
          <w:rFonts w:cs="Times New Roman"/>
          <w:color w:val="000000"/>
          <w:sz w:val="22"/>
          <w:szCs w:val="20"/>
        </w:rPr>
        <w:t>Willan Antonio Muñoz Chamba</w:t>
      </w:r>
    </w:p>
    <w:p w14:paraId="666A2B52"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Universidad de Guayaquil, Facultad de Ciencias Médicas, Carrera de Medicina</w:t>
      </w:r>
    </w:p>
    <w:p w14:paraId="120CDEF4"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Guayaquil, Ecuador.</w:t>
      </w:r>
    </w:p>
    <w:p w14:paraId="12D1FB47" w14:textId="17F8BBD6" w:rsidR="003E7BC7" w:rsidRPr="00930D69" w:rsidRDefault="00DD6CBE" w:rsidP="003E7BC7">
      <w:pPr>
        <w:spacing w:line="240" w:lineRule="auto"/>
        <w:jc w:val="right"/>
        <w:rPr>
          <w:rFonts w:cs="Times New Roman"/>
          <w:color w:val="000000"/>
          <w:sz w:val="22"/>
          <w:szCs w:val="20"/>
        </w:rPr>
      </w:pPr>
      <w:hyperlink r:id="rId11" w:history="1">
        <w:r w:rsidRPr="003D37AE">
          <w:rPr>
            <w:rStyle w:val="Hipervnculo"/>
            <w:rFonts w:cs="Times New Roman"/>
            <w:sz w:val="22"/>
            <w:szCs w:val="20"/>
          </w:rPr>
          <w:t>willan.munozc@ug.edu.ec</w:t>
        </w:r>
      </w:hyperlink>
      <w:r>
        <w:rPr>
          <w:rFonts w:cs="Times New Roman"/>
          <w:sz w:val="22"/>
          <w:szCs w:val="20"/>
        </w:rPr>
        <w:t xml:space="preserve"> </w:t>
      </w:r>
    </w:p>
    <w:p w14:paraId="1CA194F5" w14:textId="4C27BDE5" w:rsidR="003E7BC7" w:rsidRPr="00930D69" w:rsidRDefault="00DD6CBE" w:rsidP="003E7BC7">
      <w:pPr>
        <w:spacing w:line="240" w:lineRule="auto"/>
        <w:jc w:val="right"/>
        <w:rPr>
          <w:rFonts w:cs="Times New Roman"/>
          <w:color w:val="000000"/>
          <w:sz w:val="22"/>
          <w:szCs w:val="20"/>
        </w:rPr>
      </w:pPr>
      <w:hyperlink r:id="rId12" w:history="1">
        <w:r w:rsidRPr="003D37AE">
          <w:rPr>
            <w:rStyle w:val="Hipervnculo"/>
            <w:rFonts w:cs="Times New Roman"/>
            <w:sz w:val="22"/>
            <w:szCs w:val="20"/>
          </w:rPr>
          <w:t>https://orcid.org/0000-0002-0154-6625</w:t>
        </w:r>
      </w:hyperlink>
      <w:r>
        <w:rPr>
          <w:rFonts w:cs="Times New Roman"/>
          <w:sz w:val="22"/>
          <w:szCs w:val="20"/>
        </w:rPr>
        <w:t xml:space="preserve"> </w:t>
      </w:r>
    </w:p>
    <w:p w14:paraId="61D42A03" w14:textId="77777777" w:rsidR="00371129" w:rsidRPr="00930D69" w:rsidRDefault="00371129" w:rsidP="006155FA">
      <w:pPr>
        <w:spacing w:line="240" w:lineRule="auto"/>
        <w:jc w:val="right"/>
        <w:rPr>
          <w:rFonts w:cs="Times New Roman"/>
          <w:spacing w:val="-12"/>
          <w:sz w:val="22"/>
          <w:szCs w:val="20"/>
        </w:rPr>
      </w:pPr>
    </w:p>
    <w:p w14:paraId="61EAA29B" w14:textId="78C218FA" w:rsidR="003E7BC7" w:rsidRDefault="003E7BC7" w:rsidP="003E7BC7">
      <w:pPr>
        <w:spacing w:line="240" w:lineRule="auto"/>
        <w:jc w:val="right"/>
        <w:rPr>
          <w:rFonts w:cs="Times New Roman"/>
          <w:color w:val="000000"/>
          <w:sz w:val="22"/>
          <w:szCs w:val="20"/>
        </w:rPr>
      </w:pPr>
      <w:r w:rsidRPr="003E7BC7">
        <w:rPr>
          <w:rFonts w:cs="Times New Roman"/>
          <w:color w:val="000000"/>
          <w:sz w:val="22"/>
          <w:szCs w:val="20"/>
        </w:rPr>
        <w:t>Emilio José</w:t>
      </w:r>
      <w:r>
        <w:rPr>
          <w:rFonts w:cs="Times New Roman"/>
          <w:color w:val="000000"/>
          <w:sz w:val="22"/>
          <w:szCs w:val="20"/>
        </w:rPr>
        <w:t xml:space="preserve"> </w:t>
      </w:r>
      <w:r w:rsidRPr="003E7BC7">
        <w:rPr>
          <w:rFonts w:cs="Times New Roman"/>
          <w:color w:val="000000"/>
          <w:sz w:val="22"/>
          <w:szCs w:val="20"/>
        </w:rPr>
        <w:t>Jaramillo Jiménez</w:t>
      </w:r>
    </w:p>
    <w:p w14:paraId="57786BF6" w14:textId="210F4584"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Universidad de Guayaquil, Facultad de Ciencias Médicas, Carrera de Medicina</w:t>
      </w:r>
    </w:p>
    <w:p w14:paraId="41D2995A"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Guayaquil, Ecuador.</w:t>
      </w:r>
    </w:p>
    <w:p w14:paraId="3B2654CB" w14:textId="457E62C3" w:rsidR="003E7BC7" w:rsidRPr="00930D69" w:rsidRDefault="00DD6CBE" w:rsidP="003E7BC7">
      <w:pPr>
        <w:spacing w:line="240" w:lineRule="auto"/>
        <w:jc w:val="right"/>
        <w:rPr>
          <w:rFonts w:cs="Times New Roman"/>
          <w:color w:val="000000"/>
          <w:sz w:val="22"/>
          <w:szCs w:val="20"/>
        </w:rPr>
      </w:pPr>
      <w:hyperlink r:id="rId13" w:history="1">
        <w:r w:rsidRPr="003D37AE">
          <w:rPr>
            <w:rStyle w:val="Hipervnculo"/>
            <w:rFonts w:cs="Times New Roman"/>
            <w:sz w:val="22"/>
            <w:szCs w:val="20"/>
          </w:rPr>
          <w:t>emilio.jaramilloj@ug.edu.ec</w:t>
        </w:r>
      </w:hyperlink>
      <w:r>
        <w:rPr>
          <w:rFonts w:cs="Times New Roman"/>
          <w:sz w:val="22"/>
          <w:szCs w:val="20"/>
        </w:rPr>
        <w:t xml:space="preserve"> </w:t>
      </w:r>
    </w:p>
    <w:p w14:paraId="488FB475" w14:textId="6DC50A97" w:rsidR="003E7BC7" w:rsidRPr="00930D69" w:rsidRDefault="00DD6CBE" w:rsidP="003E7BC7">
      <w:pPr>
        <w:spacing w:line="240" w:lineRule="auto"/>
        <w:jc w:val="right"/>
        <w:rPr>
          <w:rFonts w:cs="Times New Roman"/>
          <w:color w:val="000000"/>
          <w:sz w:val="22"/>
          <w:szCs w:val="20"/>
        </w:rPr>
      </w:pPr>
      <w:hyperlink r:id="rId14" w:history="1">
        <w:r w:rsidRPr="003D37AE">
          <w:rPr>
            <w:rStyle w:val="Hipervnculo"/>
            <w:rFonts w:cs="Times New Roman"/>
            <w:sz w:val="22"/>
            <w:szCs w:val="20"/>
          </w:rPr>
          <w:t>https://orcid.org/0009-0002-4160-6220</w:t>
        </w:r>
      </w:hyperlink>
      <w:r>
        <w:rPr>
          <w:rFonts w:cs="Times New Roman"/>
          <w:sz w:val="22"/>
          <w:szCs w:val="20"/>
        </w:rPr>
        <w:t xml:space="preserve"> </w:t>
      </w:r>
    </w:p>
    <w:p w14:paraId="673DF593" w14:textId="77777777" w:rsidR="00AC10E8" w:rsidRDefault="00AC10E8" w:rsidP="00BE2EDC">
      <w:pPr>
        <w:tabs>
          <w:tab w:val="left" w:pos="615"/>
        </w:tabs>
        <w:jc w:val="right"/>
        <w:rPr>
          <w:rFonts w:eastAsia="Times New Roman" w:cs="Times New Roman"/>
        </w:rPr>
      </w:pPr>
    </w:p>
    <w:p w14:paraId="230B025A" w14:textId="13DBE444" w:rsidR="003E7BC7" w:rsidRPr="00930D69" w:rsidRDefault="003E7BC7" w:rsidP="003E7BC7">
      <w:pPr>
        <w:spacing w:line="240" w:lineRule="auto"/>
        <w:jc w:val="right"/>
        <w:rPr>
          <w:rFonts w:cs="Times New Roman"/>
          <w:color w:val="000000"/>
          <w:sz w:val="22"/>
          <w:szCs w:val="20"/>
        </w:rPr>
      </w:pPr>
      <w:r w:rsidRPr="003E7BC7">
        <w:rPr>
          <w:rFonts w:cs="Times New Roman"/>
          <w:color w:val="000000"/>
          <w:sz w:val="22"/>
          <w:szCs w:val="20"/>
        </w:rPr>
        <w:t>Merlina Belén</w:t>
      </w:r>
      <w:r>
        <w:rPr>
          <w:rFonts w:cs="Times New Roman"/>
          <w:color w:val="000000"/>
          <w:sz w:val="22"/>
          <w:szCs w:val="20"/>
        </w:rPr>
        <w:t xml:space="preserve"> </w:t>
      </w:r>
      <w:r w:rsidRPr="003E7BC7">
        <w:rPr>
          <w:rFonts w:cs="Times New Roman"/>
          <w:color w:val="000000"/>
          <w:sz w:val="22"/>
          <w:szCs w:val="20"/>
        </w:rPr>
        <w:t>Moreno Cortez</w:t>
      </w:r>
    </w:p>
    <w:p w14:paraId="4751FB7E"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Universidad de Guayaquil, Facultad de Ciencias Médicas, Carrera de Medicina</w:t>
      </w:r>
    </w:p>
    <w:p w14:paraId="2F29FCE5"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Guayaquil, Ecuador.</w:t>
      </w:r>
    </w:p>
    <w:p w14:paraId="43B9EC56" w14:textId="5347A0E0" w:rsidR="003E7BC7" w:rsidRPr="00930D69" w:rsidRDefault="00DD6CBE" w:rsidP="003E7BC7">
      <w:pPr>
        <w:spacing w:line="240" w:lineRule="auto"/>
        <w:jc w:val="right"/>
        <w:rPr>
          <w:rFonts w:cs="Times New Roman"/>
          <w:color w:val="000000"/>
          <w:sz w:val="22"/>
          <w:szCs w:val="20"/>
        </w:rPr>
      </w:pPr>
      <w:hyperlink r:id="rId15" w:history="1">
        <w:r w:rsidRPr="003D37AE">
          <w:rPr>
            <w:rStyle w:val="Hipervnculo"/>
            <w:rFonts w:cs="Times New Roman"/>
            <w:sz w:val="22"/>
            <w:szCs w:val="20"/>
          </w:rPr>
          <w:t>merlina.morenoc@ug.edu.ec</w:t>
        </w:r>
      </w:hyperlink>
      <w:r>
        <w:rPr>
          <w:rFonts w:cs="Times New Roman"/>
          <w:sz w:val="22"/>
          <w:szCs w:val="20"/>
        </w:rPr>
        <w:t xml:space="preserve"> </w:t>
      </w:r>
    </w:p>
    <w:p w14:paraId="4EAC8478" w14:textId="2389B38F" w:rsidR="003E7BC7" w:rsidRPr="00930D69" w:rsidRDefault="00DD6CBE" w:rsidP="003E7BC7">
      <w:pPr>
        <w:spacing w:line="240" w:lineRule="auto"/>
        <w:jc w:val="right"/>
        <w:rPr>
          <w:rFonts w:cs="Times New Roman"/>
          <w:color w:val="000000"/>
          <w:sz w:val="22"/>
          <w:szCs w:val="20"/>
        </w:rPr>
      </w:pPr>
      <w:hyperlink r:id="rId16" w:history="1">
        <w:r w:rsidRPr="003D37AE">
          <w:rPr>
            <w:rStyle w:val="Hipervnculo"/>
            <w:rFonts w:cs="Times New Roman"/>
            <w:sz w:val="22"/>
            <w:szCs w:val="20"/>
          </w:rPr>
          <w:t>https://orcid.org/0009-0004-3462-5604</w:t>
        </w:r>
      </w:hyperlink>
      <w:r>
        <w:rPr>
          <w:rFonts w:cs="Times New Roman"/>
          <w:sz w:val="22"/>
          <w:szCs w:val="20"/>
        </w:rPr>
        <w:t xml:space="preserve"> </w:t>
      </w:r>
    </w:p>
    <w:p w14:paraId="51E6EC7B" w14:textId="77777777" w:rsidR="003E7BC7" w:rsidRDefault="003E7BC7" w:rsidP="00BE2EDC">
      <w:pPr>
        <w:tabs>
          <w:tab w:val="left" w:pos="615"/>
        </w:tabs>
        <w:jc w:val="right"/>
        <w:rPr>
          <w:rFonts w:eastAsia="Times New Roman" w:cs="Times New Roman"/>
        </w:rPr>
      </w:pPr>
    </w:p>
    <w:p w14:paraId="5BC29FD4" w14:textId="55EBC789" w:rsidR="003E7BC7" w:rsidRPr="00930D69" w:rsidRDefault="003E7BC7" w:rsidP="003E7BC7">
      <w:pPr>
        <w:spacing w:line="240" w:lineRule="auto"/>
        <w:jc w:val="right"/>
        <w:rPr>
          <w:rFonts w:cs="Times New Roman"/>
          <w:color w:val="000000"/>
          <w:sz w:val="22"/>
          <w:szCs w:val="20"/>
        </w:rPr>
      </w:pPr>
      <w:r w:rsidRPr="003E7BC7">
        <w:rPr>
          <w:rFonts w:cs="Times New Roman"/>
          <w:color w:val="000000"/>
          <w:sz w:val="22"/>
          <w:szCs w:val="20"/>
        </w:rPr>
        <w:t>Andrea Michelle</w:t>
      </w:r>
      <w:r>
        <w:rPr>
          <w:rFonts w:cs="Times New Roman"/>
          <w:color w:val="000000"/>
          <w:sz w:val="22"/>
          <w:szCs w:val="20"/>
        </w:rPr>
        <w:t xml:space="preserve"> </w:t>
      </w:r>
      <w:r w:rsidRPr="003E7BC7">
        <w:rPr>
          <w:rFonts w:cs="Times New Roman"/>
          <w:color w:val="000000"/>
          <w:sz w:val="22"/>
          <w:szCs w:val="20"/>
        </w:rPr>
        <w:t>Silva Suárez</w:t>
      </w:r>
    </w:p>
    <w:p w14:paraId="78D7BB26"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Universidad de Guayaquil, Facultad de Ciencias Médicas, Carrera de Medicina</w:t>
      </w:r>
    </w:p>
    <w:p w14:paraId="07339878"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Guayaquil, Ecuador.</w:t>
      </w:r>
    </w:p>
    <w:p w14:paraId="354702C6" w14:textId="217F8AC7" w:rsidR="003E7BC7" w:rsidRPr="00930D69" w:rsidRDefault="00DD6CBE" w:rsidP="003E7BC7">
      <w:pPr>
        <w:spacing w:line="240" w:lineRule="auto"/>
        <w:jc w:val="right"/>
        <w:rPr>
          <w:rFonts w:cs="Times New Roman"/>
          <w:color w:val="000000"/>
          <w:sz w:val="22"/>
          <w:szCs w:val="20"/>
        </w:rPr>
      </w:pPr>
      <w:hyperlink r:id="rId17" w:history="1">
        <w:r w:rsidRPr="003D37AE">
          <w:rPr>
            <w:rStyle w:val="Hipervnculo"/>
            <w:rFonts w:cs="Times New Roman"/>
            <w:sz w:val="22"/>
            <w:szCs w:val="20"/>
          </w:rPr>
          <w:t>andrea.silvas@ug.edu.ec</w:t>
        </w:r>
      </w:hyperlink>
      <w:r>
        <w:rPr>
          <w:rFonts w:cs="Times New Roman"/>
          <w:sz w:val="22"/>
          <w:szCs w:val="20"/>
        </w:rPr>
        <w:t xml:space="preserve"> </w:t>
      </w:r>
    </w:p>
    <w:p w14:paraId="00424385" w14:textId="0FD7876F" w:rsidR="003E7BC7" w:rsidRPr="002B1414" w:rsidRDefault="00DD6CBE" w:rsidP="003E7BC7">
      <w:pPr>
        <w:spacing w:line="240" w:lineRule="auto"/>
        <w:jc w:val="right"/>
        <w:rPr>
          <w:rFonts w:cs="Times New Roman"/>
          <w:color w:val="000000"/>
          <w:sz w:val="22"/>
          <w:szCs w:val="20"/>
          <w:lang w:val="en-US"/>
        </w:rPr>
      </w:pPr>
      <w:hyperlink r:id="rId18" w:history="1">
        <w:r w:rsidRPr="003D37AE">
          <w:rPr>
            <w:rStyle w:val="Hipervnculo"/>
            <w:rFonts w:cs="Times New Roman"/>
            <w:sz w:val="22"/>
            <w:szCs w:val="20"/>
            <w:lang w:val="en-US"/>
          </w:rPr>
          <w:t>https://orcid.org/0009-0004-2689-1435</w:t>
        </w:r>
      </w:hyperlink>
      <w:r>
        <w:rPr>
          <w:rFonts w:cs="Times New Roman"/>
          <w:sz w:val="22"/>
          <w:szCs w:val="20"/>
          <w:lang w:val="en-US"/>
        </w:rPr>
        <w:t xml:space="preserve"> </w:t>
      </w:r>
    </w:p>
    <w:p w14:paraId="2A1DFEBF" w14:textId="77777777" w:rsidR="003E7BC7" w:rsidRPr="002B1414" w:rsidRDefault="003E7BC7" w:rsidP="00BE2EDC">
      <w:pPr>
        <w:tabs>
          <w:tab w:val="left" w:pos="615"/>
        </w:tabs>
        <w:jc w:val="right"/>
        <w:rPr>
          <w:rFonts w:eastAsia="Times New Roman" w:cs="Times New Roman"/>
          <w:lang w:val="en-US"/>
        </w:rPr>
      </w:pPr>
    </w:p>
    <w:p w14:paraId="09911AF7" w14:textId="637C4535" w:rsidR="003E7BC7" w:rsidRPr="002B1414" w:rsidRDefault="003E7BC7" w:rsidP="003E7BC7">
      <w:pPr>
        <w:spacing w:line="240" w:lineRule="auto"/>
        <w:jc w:val="right"/>
        <w:rPr>
          <w:rFonts w:cs="Times New Roman"/>
          <w:color w:val="000000"/>
          <w:sz w:val="22"/>
          <w:szCs w:val="20"/>
          <w:lang w:val="en-US"/>
        </w:rPr>
      </w:pPr>
      <w:r w:rsidRPr="002B1414">
        <w:rPr>
          <w:rFonts w:cs="Times New Roman"/>
          <w:color w:val="000000"/>
          <w:sz w:val="22"/>
          <w:szCs w:val="20"/>
          <w:lang w:val="en-US"/>
        </w:rPr>
        <w:t>Lindsay Janine Vinces Crespo</w:t>
      </w:r>
    </w:p>
    <w:p w14:paraId="616CEA37"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Universidad de Guayaquil, Facultad de Ciencias Médicas, Carrera de Medicina</w:t>
      </w:r>
    </w:p>
    <w:p w14:paraId="2A6229C8"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Guayaquil, Ecuador.</w:t>
      </w:r>
    </w:p>
    <w:p w14:paraId="2CFA0F68" w14:textId="6BD4E25C" w:rsidR="003E7BC7" w:rsidRPr="00930D69" w:rsidRDefault="00DD6CBE" w:rsidP="003E7BC7">
      <w:pPr>
        <w:spacing w:line="240" w:lineRule="auto"/>
        <w:jc w:val="right"/>
        <w:rPr>
          <w:rFonts w:cs="Times New Roman"/>
          <w:color w:val="000000"/>
          <w:sz w:val="22"/>
          <w:szCs w:val="20"/>
        </w:rPr>
      </w:pPr>
      <w:hyperlink r:id="rId19" w:history="1">
        <w:r w:rsidRPr="003D37AE">
          <w:rPr>
            <w:rStyle w:val="Hipervnculo"/>
            <w:rFonts w:cs="Times New Roman"/>
            <w:sz w:val="22"/>
            <w:szCs w:val="20"/>
          </w:rPr>
          <w:t>lindsay.vincesc@ug.edu.ec</w:t>
        </w:r>
      </w:hyperlink>
      <w:r>
        <w:rPr>
          <w:rFonts w:cs="Times New Roman"/>
          <w:sz w:val="22"/>
          <w:szCs w:val="20"/>
        </w:rPr>
        <w:t xml:space="preserve"> </w:t>
      </w:r>
    </w:p>
    <w:p w14:paraId="102DC793" w14:textId="305A38C4" w:rsidR="003E7BC7" w:rsidRPr="00930D69" w:rsidRDefault="00DD6CBE" w:rsidP="003E7BC7">
      <w:pPr>
        <w:spacing w:line="240" w:lineRule="auto"/>
        <w:jc w:val="right"/>
        <w:rPr>
          <w:rFonts w:cs="Times New Roman"/>
          <w:color w:val="000000"/>
          <w:sz w:val="22"/>
          <w:szCs w:val="20"/>
        </w:rPr>
      </w:pPr>
      <w:hyperlink r:id="rId20" w:history="1">
        <w:r w:rsidRPr="003D37AE">
          <w:rPr>
            <w:rStyle w:val="Hipervnculo"/>
            <w:rFonts w:cs="Times New Roman"/>
            <w:sz w:val="22"/>
            <w:szCs w:val="20"/>
          </w:rPr>
          <w:t>https://orcid.org/0009-0002-4524-7069</w:t>
        </w:r>
      </w:hyperlink>
      <w:r>
        <w:rPr>
          <w:rFonts w:cs="Times New Roman"/>
          <w:sz w:val="22"/>
          <w:szCs w:val="20"/>
        </w:rPr>
        <w:t xml:space="preserve"> </w:t>
      </w:r>
    </w:p>
    <w:p w14:paraId="69A8BE15" w14:textId="77777777" w:rsidR="003E7BC7" w:rsidRDefault="003E7BC7" w:rsidP="00BE2EDC">
      <w:pPr>
        <w:tabs>
          <w:tab w:val="left" w:pos="615"/>
        </w:tabs>
        <w:jc w:val="right"/>
        <w:rPr>
          <w:rFonts w:eastAsia="Times New Roman" w:cs="Times New Roman"/>
        </w:rPr>
      </w:pPr>
    </w:p>
    <w:p w14:paraId="168EC783" w14:textId="3EA65B92" w:rsidR="003E7BC7" w:rsidRPr="00930D69" w:rsidRDefault="003E7BC7" w:rsidP="003E7BC7">
      <w:pPr>
        <w:spacing w:line="240" w:lineRule="auto"/>
        <w:jc w:val="right"/>
        <w:rPr>
          <w:rFonts w:cs="Times New Roman"/>
          <w:color w:val="000000"/>
          <w:sz w:val="22"/>
          <w:szCs w:val="20"/>
        </w:rPr>
      </w:pPr>
      <w:r w:rsidRPr="003E7BC7">
        <w:rPr>
          <w:rFonts w:cs="Times New Roman"/>
          <w:color w:val="000000"/>
          <w:sz w:val="22"/>
          <w:szCs w:val="20"/>
        </w:rPr>
        <w:t>Danilo del Jesús Yumbla Lindao</w:t>
      </w:r>
    </w:p>
    <w:p w14:paraId="12E9A36B"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Universidad de Guayaquil, Facultad de Ciencias Médicas, Carrera de Medicina</w:t>
      </w:r>
    </w:p>
    <w:p w14:paraId="282EF778" w14:textId="77777777" w:rsidR="003E7BC7" w:rsidRDefault="003E7BC7" w:rsidP="003E7BC7">
      <w:pPr>
        <w:spacing w:line="240" w:lineRule="auto"/>
        <w:jc w:val="right"/>
        <w:rPr>
          <w:rFonts w:cs="Times New Roman"/>
          <w:color w:val="000000"/>
          <w:sz w:val="22"/>
          <w:szCs w:val="20"/>
        </w:rPr>
      </w:pPr>
      <w:r w:rsidRPr="00215B41">
        <w:rPr>
          <w:rFonts w:cs="Times New Roman"/>
          <w:color w:val="000000"/>
          <w:sz w:val="22"/>
          <w:szCs w:val="20"/>
        </w:rPr>
        <w:t>Guayaquil, Ecuador.</w:t>
      </w:r>
    </w:p>
    <w:p w14:paraId="68C76216" w14:textId="4EC64CE7" w:rsidR="003E7BC7" w:rsidRPr="00930D69" w:rsidRDefault="00DD6CBE" w:rsidP="003E7BC7">
      <w:pPr>
        <w:spacing w:line="240" w:lineRule="auto"/>
        <w:jc w:val="right"/>
        <w:rPr>
          <w:rFonts w:cs="Times New Roman"/>
          <w:color w:val="000000"/>
          <w:sz w:val="22"/>
          <w:szCs w:val="20"/>
        </w:rPr>
      </w:pPr>
      <w:hyperlink r:id="rId21" w:history="1">
        <w:r w:rsidRPr="003D37AE">
          <w:rPr>
            <w:rStyle w:val="Hipervnculo"/>
            <w:rFonts w:cs="Times New Roman"/>
            <w:sz w:val="22"/>
            <w:szCs w:val="20"/>
          </w:rPr>
          <w:t>danilo.yumblal@ug.edu.ec</w:t>
        </w:r>
      </w:hyperlink>
      <w:r>
        <w:rPr>
          <w:rFonts w:cs="Times New Roman"/>
          <w:sz w:val="22"/>
          <w:szCs w:val="20"/>
        </w:rPr>
        <w:t xml:space="preserve"> </w:t>
      </w:r>
    </w:p>
    <w:p w14:paraId="18808C30" w14:textId="56D95949" w:rsidR="003E7BC7" w:rsidRDefault="00DD6CBE" w:rsidP="003E7BC7">
      <w:pPr>
        <w:spacing w:line="240" w:lineRule="auto"/>
        <w:jc w:val="right"/>
        <w:rPr>
          <w:rFonts w:cs="Times New Roman"/>
          <w:sz w:val="22"/>
          <w:szCs w:val="20"/>
        </w:rPr>
      </w:pPr>
      <w:hyperlink r:id="rId22" w:history="1">
        <w:r w:rsidRPr="003D37AE">
          <w:rPr>
            <w:rStyle w:val="Hipervnculo"/>
            <w:rFonts w:cs="Times New Roman"/>
            <w:sz w:val="22"/>
            <w:szCs w:val="20"/>
          </w:rPr>
          <w:t>https://orcid.org/0009-0009-2465-1362</w:t>
        </w:r>
      </w:hyperlink>
      <w:r>
        <w:rPr>
          <w:rFonts w:cs="Times New Roman"/>
          <w:sz w:val="22"/>
          <w:szCs w:val="20"/>
        </w:rPr>
        <w:t xml:space="preserve"> </w:t>
      </w:r>
    </w:p>
    <w:p w14:paraId="5279909B" w14:textId="77777777" w:rsidR="003E7BC7" w:rsidRDefault="003E7BC7" w:rsidP="003E7BC7">
      <w:pPr>
        <w:spacing w:line="240" w:lineRule="auto"/>
        <w:jc w:val="right"/>
        <w:rPr>
          <w:rFonts w:eastAsia="Times New Roman" w:cs="Times New Roman"/>
        </w:rPr>
      </w:pPr>
    </w:p>
    <w:p w14:paraId="0D75A91A" w14:textId="77777777" w:rsidR="006155FA" w:rsidRPr="00930D69" w:rsidRDefault="006155FA" w:rsidP="006155FA">
      <w:pPr>
        <w:spacing w:line="240" w:lineRule="auto"/>
        <w:jc w:val="center"/>
        <w:rPr>
          <w:rFonts w:cs="Times New Roman"/>
          <w:b/>
          <w:sz w:val="22"/>
          <w:szCs w:val="20"/>
        </w:rPr>
      </w:pPr>
    </w:p>
    <w:p w14:paraId="6DBFEEF7" w14:textId="77777777" w:rsidR="006155FA" w:rsidRPr="00930D69" w:rsidRDefault="006155FA" w:rsidP="006155FA">
      <w:pPr>
        <w:spacing w:line="240" w:lineRule="auto"/>
        <w:jc w:val="center"/>
        <w:rPr>
          <w:rFonts w:cs="Times New Roman"/>
          <w:b/>
          <w:sz w:val="22"/>
          <w:szCs w:val="20"/>
        </w:rPr>
      </w:pPr>
    </w:p>
    <w:p w14:paraId="3E967B84" w14:textId="2438EA5F" w:rsidR="00695BE4" w:rsidRPr="00930D69" w:rsidRDefault="00695BE4" w:rsidP="006155FA">
      <w:pPr>
        <w:spacing w:line="240" w:lineRule="auto"/>
        <w:jc w:val="center"/>
        <w:rPr>
          <w:rStyle w:val="Hipervnculo"/>
          <w:rFonts w:cs="Times New Roman"/>
          <w:i/>
          <w:sz w:val="22"/>
          <w:szCs w:val="20"/>
        </w:rPr>
      </w:pPr>
      <w:r w:rsidRPr="00930D69">
        <w:rPr>
          <w:rFonts w:cs="Times New Roman"/>
          <w:b/>
          <w:sz w:val="22"/>
          <w:szCs w:val="20"/>
        </w:rPr>
        <w:lastRenderedPageBreak/>
        <w:t xml:space="preserve">Autor de correspondencia: </w:t>
      </w:r>
      <w:r w:rsidR="003E7BC7" w:rsidRPr="003E7BC7">
        <w:rPr>
          <w:rFonts w:cs="Times New Roman"/>
          <w:i/>
          <w:sz w:val="22"/>
          <w:szCs w:val="20"/>
        </w:rPr>
        <w:t>Danilo del Jesús Yumbla Lindao</w:t>
      </w:r>
      <w:r w:rsidR="00763E1C" w:rsidRPr="00930D69">
        <w:rPr>
          <w:rFonts w:cs="Times New Roman"/>
          <w:noProof/>
          <w:sz w:val="22"/>
          <w:szCs w:val="20"/>
          <w:lang w:eastAsia="es-MX"/>
        </w:rPr>
        <w:t xml:space="preserve">, </w:t>
      </w:r>
      <w:r w:rsidR="003E7BC7" w:rsidRPr="003E7BC7">
        <w:rPr>
          <w:rFonts w:cs="Times New Roman"/>
          <w:noProof/>
          <w:sz w:val="22"/>
          <w:szCs w:val="20"/>
          <w:lang w:eastAsia="es-MX"/>
        </w:rPr>
        <w:t>danilo.yumblal@ug.edu.ec</w:t>
      </w:r>
    </w:p>
    <w:p w14:paraId="4FA4F022" w14:textId="77777777" w:rsidR="00695BE4" w:rsidRDefault="00695BE4" w:rsidP="003E7BC7">
      <w:pPr>
        <w:spacing w:line="240" w:lineRule="auto"/>
        <w:rPr>
          <w:rStyle w:val="Hipervnculo"/>
          <w:rFonts w:cs="Times New Roman"/>
          <w:i/>
          <w:sz w:val="22"/>
          <w:szCs w:val="20"/>
        </w:rPr>
      </w:pPr>
    </w:p>
    <w:p w14:paraId="2670CDFB" w14:textId="77777777" w:rsidR="003E7BC7" w:rsidRPr="00930D69" w:rsidRDefault="003E7BC7" w:rsidP="003E7BC7">
      <w:pPr>
        <w:spacing w:line="240" w:lineRule="auto"/>
        <w:rPr>
          <w:rStyle w:val="Hipervnculo"/>
          <w:rFonts w:cs="Times New Roman"/>
          <w:i/>
          <w:sz w:val="22"/>
          <w:szCs w:val="20"/>
        </w:rPr>
      </w:pPr>
    </w:p>
    <w:p w14:paraId="059D2B8F" w14:textId="6107A1E5" w:rsidR="00695BE4" w:rsidRPr="00930D69" w:rsidRDefault="00695BE4" w:rsidP="006155FA">
      <w:pPr>
        <w:autoSpaceDE w:val="0"/>
        <w:autoSpaceDN w:val="0"/>
        <w:adjustRightInd w:val="0"/>
        <w:spacing w:line="240" w:lineRule="auto"/>
        <w:jc w:val="center"/>
        <w:rPr>
          <w:rFonts w:cs="Times New Roman"/>
          <w:sz w:val="22"/>
          <w:szCs w:val="20"/>
        </w:rPr>
      </w:pPr>
      <w:r w:rsidRPr="00930D69">
        <w:rPr>
          <w:rFonts w:cs="Times New Roman"/>
          <w:b/>
          <w:bCs/>
          <w:sz w:val="22"/>
          <w:szCs w:val="20"/>
        </w:rPr>
        <w:t xml:space="preserve">Recepción: </w:t>
      </w:r>
      <w:r w:rsidR="003E7BC7" w:rsidRPr="003E7BC7">
        <w:rPr>
          <w:rFonts w:cs="Times New Roman"/>
          <w:sz w:val="22"/>
          <w:szCs w:val="20"/>
        </w:rPr>
        <w:t>10-marzo-2026</w:t>
      </w:r>
      <w:r w:rsidRPr="00930D69">
        <w:rPr>
          <w:rFonts w:cs="Times New Roman"/>
          <w:sz w:val="22"/>
          <w:szCs w:val="20"/>
        </w:rPr>
        <w:t xml:space="preserve"> </w:t>
      </w:r>
      <w:r w:rsidRPr="00930D69">
        <w:rPr>
          <w:rFonts w:cs="Times New Roman"/>
          <w:sz w:val="22"/>
          <w:szCs w:val="20"/>
        </w:rPr>
        <w:tab/>
      </w:r>
      <w:r w:rsidRPr="00930D69">
        <w:rPr>
          <w:rFonts w:cs="Times New Roman"/>
          <w:b/>
          <w:bCs/>
          <w:sz w:val="22"/>
          <w:szCs w:val="20"/>
        </w:rPr>
        <w:t xml:space="preserve">Aceptación: </w:t>
      </w:r>
      <w:r w:rsidR="003E7BC7" w:rsidRPr="003E7BC7">
        <w:rPr>
          <w:rFonts w:cs="Times New Roman"/>
          <w:sz w:val="22"/>
          <w:szCs w:val="20"/>
        </w:rPr>
        <w:t>30-mayo-2026</w:t>
      </w:r>
      <w:r w:rsidR="003E7BC7">
        <w:rPr>
          <w:rFonts w:cs="Times New Roman"/>
          <w:sz w:val="22"/>
          <w:szCs w:val="20"/>
        </w:rPr>
        <w:tab/>
      </w:r>
      <w:r w:rsidRPr="00930D69">
        <w:rPr>
          <w:rFonts w:cs="Times New Roman"/>
          <w:b/>
          <w:bCs/>
          <w:sz w:val="22"/>
          <w:szCs w:val="20"/>
        </w:rPr>
        <w:t xml:space="preserve">Publicación: </w:t>
      </w:r>
      <w:r w:rsidR="003E7BC7" w:rsidRPr="003E7BC7">
        <w:rPr>
          <w:rFonts w:cs="Times New Roman"/>
          <w:sz w:val="22"/>
          <w:szCs w:val="20"/>
        </w:rPr>
        <w:t>3</w:t>
      </w:r>
      <w:r w:rsidR="000004AD">
        <w:rPr>
          <w:rFonts w:cs="Times New Roman"/>
          <w:sz w:val="22"/>
          <w:szCs w:val="20"/>
        </w:rPr>
        <w:t>1</w:t>
      </w:r>
      <w:r w:rsidR="003E7BC7" w:rsidRPr="003E7BC7">
        <w:rPr>
          <w:rFonts w:cs="Times New Roman"/>
          <w:sz w:val="22"/>
          <w:szCs w:val="20"/>
        </w:rPr>
        <w:t>-julio-2026</w:t>
      </w:r>
    </w:p>
    <w:p w14:paraId="799CD34E" w14:textId="77777777" w:rsidR="00695BE4" w:rsidRPr="00930D69" w:rsidRDefault="00695BE4" w:rsidP="006155FA">
      <w:pPr>
        <w:spacing w:line="240" w:lineRule="auto"/>
        <w:jc w:val="center"/>
        <w:rPr>
          <w:rFonts w:eastAsia="Times New Roman" w:cs="Times New Roman"/>
          <w:sz w:val="22"/>
        </w:rPr>
      </w:pPr>
      <w:r w:rsidRPr="00930D69">
        <w:rPr>
          <w:rFonts w:eastAsia="Times New Roman" w:cs="Times New Roman"/>
          <w:sz w:val="22"/>
        </w:rPr>
        <w:t xml:space="preserve">     </w:t>
      </w:r>
    </w:p>
    <w:p w14:paraId="106346AF" w14:textId="77777777" w:rsidR="00695BE4" w:rsidRPr="00930D69" w:rsidRDefault="00695BE4" w:rsidP="006155FA">
      <w:pPr>
        <w:spacing w:line="240" w:lineRule="auto"/>
        <w:jc w:val="center"/>
        <w:rPr>
          <w:rFonts w:eastAsia="Times New Roman" w:cs="Times New Roman"/>
          <w:sz w:val="22"/>
        </w:rPr>
      </w:pPr>
    </w:p>
    <w:p w14:paraId="54504FF5" w14:textId="77777777" w:rsidR="006155FA" w:rsidRPr="00930D69" w:rsidRDefault="006155FA" w:rsidP="006155FA">
      <w:pPr>
        <w:spacing w:line="240" w:lineRule="auto"/>
        <w:jc w:val="center"/>
        <w:rPr>
          <w:rFonts w:eastAsia="Times New Roman" w:cs="Times New Roman"/>
          <w:sz w:val="22"/>
        </w:rPr>
      </w:pPr>
    </w:p>
    <w:p w14:paraId="45FB06A0" w14:textId="77777777" w:rsidR="006155FA" w:rsidRPr="00930D69" w:rsidRDefault="006155FA" w:rsidP="006155FA">
      <w:pPr>
        <w:spacing w:line="240" w:lineRule="auto"/>
        <w:jc w:val="center"/>
        <w:rPr>
          <w:rFonts w:eastAsia="Times New Roman" w:cs="Times New Roman"/>
          <w:sz w:val="22"/>
        </w:rPr>
      </w:pPr>
    </w:p>
    <w:p w14:paraId="1076ED59" w14:textId="77777777" w:rsidR="006155FA" w:rsidRPr="00930D69" w:rsidRDefault="006155FA" w:rsidP="006155FA">
      <w:pPr>
        <w:spacing w:line="240" w:lineRule="auto"/>
        <w:jc w:val="center"/>
        <w:rPr>
          <w:rFonts w:eastAsia="Times New Roman" w:cs="Times New Roman"/>
          <w:b/>
          <w:bCs/>
          <w:sz w:val="22"/>
        </w:rPr>
      </w:pPr>
    </w:p>
    <w:p w14:paraId="218DD892" w14:textId="24D813A8" w:rsidR="00695BE4" w:rsidRPr="00930D69" w:rsidRDefault="00695BE4" w:rsidP="006155FA">
      <w:pPr>
        <w:spacing w:line="240" w:lineRule="auto"/>
        <w:jc w:val="center"/>
        <w:rPr>
          <w:rFonts w:eastAsia="Times New Roman" w:cs="Times New Roman"/>
          <w:b/>
          <w:bCs/>
          <w:sz w:val="22"/>
        </w:rPr>
      </w:pPr>
      <w:r w:rsidRPr="00930D69">
        <w:rPr>
          <w:rFonts w:eastAsia="Times New Roman" w:cs="Times New Roman"/>
          <w:b/>
          <w:bCs/>
          <w:sz w:val="22"/>
        </w:rPr>
        <w:t>Cómo citar este artículo:</w:t>
      </w:r>
    </w:p>
    <w:p w14:paraId="5322A2BE" w14:textId="342D7A52" w:rsidR="00695BE4" w:rsidRPr="00930D69" w:rsidRDefault="000004AD" w:rsidP="000004AD">
      <w:pPr>
        <w:spacing w:line="240" w:lineRule="auto"/>
        <w:jc w:val="center"/>
        <w:rPr>
          <w:rFonts w:eastAsia="Times New Roman" w:cs="Times New Roman"/>
          <w:sz w:val="22"/>
        </w:rPr>
      </w:pPr>
      <w:r w:rsidRPr="000004AD">
        <w:rPr>
          <w:rFonts w:eastAsia="Times New Roman" w:cs="Times New Roman"/>
          <w:sz w:val="22"/>
        </w:rPr>
        <w:t xml:space="preserve">Muñoz Chamba, W. A., Jaramillo Jiménez, E. J., Moreno Cortez, M. B., Silva Suárez, A. M., Vinces Crespo, L. J., &amp; </w:t>
      </w:r>
      <w:proofErr w:type="spellStart"/>
      <w:r w:rsidRPr="000004AD">
        <w:rPr>
          <w:rFonts w:eastAsia="Times New Roman" w:cs="Times New Roman"/>
          <w:sz w:val="22"/>
        </w:rPr>
        <w:t>Yumbla</w:t>
      </w:r>
      <w:proofErr w:type="spellEnd"/>
      <w:r w:rsidRPr="000004AD">
        <w:rPr>
          <w:rFonts w:eastAsia="Times New Roman" w:cs="Times New Roman"/>
          <w:sz w:val="22"/>
        </w:rPr>
        <w:t xml:space="preserve"> </w:t>
      </w:r>
      <w:proofErr w:type="spellStart"/>
      <w:r w:rsidRPr="000004AD">
        <w:rPr>
          <w:rFonts w:eastAsia="Times New Roman" w:cs="Times New Roman"/>
          <w:sz w:val="22"/>
        </w:rPr>
        <w:t>Lindao</w:t>
      </w:r>
      <w:proofErr w:type="spellEnd"/>
      <w:r w:rsidRPr="000004AD">
        <w:rPr>
          <w:rFonts w:eastAsia="Times New Roman" w:cs="Times New Roman"/>
          <w:sz w:val="22"/>
        </w:rPr>
        <w:t>, D. del J. (</w:t>
      </w:r>
      <w:proofErr w:type="spellStart"/>
      <w:r w:rsidRPr="000004AD">
        <w:rPr>
          <w:rFonts w:eastAsia="Times New Roman" w:cs="Times New Roman"/>
          <w:sz w:val="22"/>
        </w:rPr>
        <w:t>n.d</w:t>
      </w:r>
      <w:proofErr w:type="spellEnd"/>
      <w:r w:rsidRPr="000004AD">
        <w:rPr>
          <w:rFonts w:eastAsia="Times New Roman" w:cs="Times New Roman"/>
          <w:sz w:val="22"/>
        </w:rPr>
        <w:t xml:space="preserve">.). Prevalencia de elevación de transaminasas como indicador de sospecha de MAFLD en estudiantes de Medicina con peso normal. Sage </w:t>
      </w:r>
      <w:proofErr w:type="spellStart"/>
      <w:r w:rsidRPr="000004AD">
        <w:rPr>
          <w:rFonts w:eastAsia="Times New Roman" w:cs="Times New Roman"/>
          <w:sz w:val="22"/>
        </w:rPr>
        <w:t>Sphere</w:t>
      </w:r>
      <w:proofErr w:type="spellEnd"/>
      <w:r w:rsidRPr="000004AD">
        <w:rPr>
          <w:rFonts w:eastAsia="Times New Roman" w:cs="Times New Roman"/>
          <w:sz w:val="22"/>
        </w:rPr>
        <w:t xml:space="preserve"> </w:t>
      </w:r>
      <w:proofErr w:type="spellStart"/>
      <w:r w:rsidRPr="000004AD">
        <w:rPr>
          <w:rFonts w:eastAsia="Times New Roman" w:cs="Times New Roman"/>
          <w:sz w:val="22"/>
        </w:rPr>
        <w:t>Multidisciplinary</w:t>
      </w:r>
      <w:proofErr w:type="spellEnd"/>
      <w:r w:rsidRPr="000004AD">
        <w:rPr>
          <w:rFonts w:eastAsia="Times New Roman" w:cs="Times New Roman"/>
          <w:sz w:val="22"/>
        </w:rPr>
        <w:t xml:space="preserve"> </w:t>
      </w:r>
      <w:proofErr w:type="spellStart"/>
      <w:r w:rsidRPr="000004AD">
        <w:rPr>
          <w:rFonts w:eastAsia="Times New Roman" w:cs="Times New Roman"/>
          <w:sz w:val="22"/>
        </w:rPr>
        <w:t>Studies</w:t>
      </w:r>
      <w:proofErr w:type="spellEnd"/>
      <w:r w:rsidRPr="000004AD">
        <w:rPr>
          <w:rFonts w:eastAsia="Times New Roman" w:cs="Times New Roman"/>
          <w:sz w:val="22"/>
        </w:rPr>
        <w:t xml:space="preserve">. </w:t>
      </w:r>
      <w:hyperlink r:id="rId23" w:history="1">
        <w:r w:rsidRPr="003D37AE">
          <w:rPr>
            <w:rStyle w:val="Hipervnculo"/>
            <w:rFonts w:eastAsia="Times New Roman" w:cs="Times New Roman"/>
            <w:sz w:val="22"/>
          </w:rPr>
          <w:t>https://doi.org/10.63688/p3100y43</w:t>
        </w:r>
      </w:hyperlink>
    </w:p>
    <w:p w14:paraId="1FDE85EB" w14:textId="77777777" w:rsidR="00980B74" w:rsidRPr="00930D69" w:rsidRDefault="00980B74" w:rsidP="006155FA">
      <w:pPr>
        <w:spacing w:line="240" w:lineRule="auto"/>
        <w:rPr>
          <w:rFonts w:eastAsia="Times New Roman" w:cs="Times New Roman"/>
          <w:sz w:val="22"/>
        </w:rPr>
      </w:pPr>
    </w:p>
    <w:p w14:paraId="25BC5184" w14:textId="77777777" w:rsidR="00980B74" w:rsidRPr="00930D69" w:rsidRDefault="00980B74" w:rsidP="006155FA">
      <w:pPr>
        <w:spacing w:line="240" w:lineRule="auto"/>
        <w:rPr>
          <w:rFonts w:eastAsia="Times New Roman" w:cs="Times New Roman"/>
          <w:b/>
          <w:bCs/>
          <w:color w:val="FF0000"/>
          <w:sz w:val="22"/>
        </w:rPr>
      </w:pPr>
    </w:p>
    <w:p w14:paraId="11FD10CE" w14:textId="77777777" w:rsidR="000F66AB" w:rsidRPr="00930D69" w:rsidRDefault="000F66AB" w:rsidP="000F66AB">
      <w:pPr>
        <w:spacing w:line="240" w:lineRule="auto"/>
        <w:jc w:val="both"/>
        <w:rPr>
          <w:rFonts w:eastAsia="Times New Roman" w:cs="Times New Roman"/>
          <w:szCs w:val="24"/>
        </w:rPr>
      </w:pPr>
    </w:p>
    <w:p w14:paraId="547F5B3A" w14:textId="77777777" w:rsidR="000F66AB" w:rsidRPr="00930D69" w:rsidRDefault="000F66AB" w:rsidP="000F66AB">
      <w:pPr>
        <w:spacing w:line="240" w:lineRule="auto"/>
        <w:jc w:val="both"/>
        <w:rPr>
          <w:rFonts w:eastAsia="Times New Roman" w:cs="Times New Roman"/>
          <w:szCs w:val="24"/>
        </w:rPr>
      </w:pPr>
    </w:p>
    <w:p w14:paraId="041C5973" w14:textId="77777777" w:rsidR="000F66AB" w:rsidRPr="00930D69" w:rsidRDefault="000F66AB" w:rsidP="000F66AB">
      <w:pPr>
        <w:spacing w:line="240" w:lineRule="auto"/>
        <w:jc w:val="both"/>
        <w:rPr>
          <w:rFonts w:eastAsia="Times New Roman" w:cs="Times New Roman"/>
          <w:szCs w:val="24"/>
        </w:rPr>
      </w:pPr>
    </w:p>
    <w:p w14:paraId="7E2B1ED6" w14:textId="73F4743E" w:rsidR="00980B74" w:rsidRPr="00930D69" w:rsidRDefault="00980B74" w:rsidP="000F66AB">
      <w:pPr>
        <w:spacing w:line="240" w:lineRule="auto"/>
        <w:jc w:val="both"/>
        <w:rPr>
          <w:rFonts w:eastAsia="Times New Roman" w:cs="Times New Roman"/>
          <w:szCs w:val="24"/>
        </w:rPr>
      </w:pPr>
      <w:r w:rsidRPr="00930D69">
        <w:rPr>
          <w:rFonts w:eastAsia="Times New Roman" w:cs="Times New Roman"/>
          <w:szCs w:val="24"/>
        </w:rPr>
        <w:t>© 2026; Los autores. Este es un artículo en acceso abierto, distribuido bajo los términos de una licencia Creative Commons (</w:t>
      </w:r>
      <w:hyperlink r:id="rId24" w:tgtFrame="_new" w:history="1">
        <w:r w:rsidRPr="00930D69">
          <w:rPr>
            <w:rStyle w:val="Hipervnculo"/>
            <w:rFonts w:eastAsia="Times New Roman" w:cs="Times New Roman"/>
            <w:szCs w:val="24"/>
          </w:rPr>
          <w:t>https://creativecommons.org/licenses/by/4.0</w:t>
        </w:r>
      </w:hyperlink>
      <w:r w:rsidRPr="00930D69">
        <w:rPr>
          <w:rFonts w:eastAsia="Times New Roman" w:cs="Times New Roman"/>
          <w:szCs w:val="24"/>
        </w:rPr>
        <w:t>) que permite el uso, distribución y reproducción en cualquier medio, siempre que la obra original sea correctamente citada.</w:t>
      </w:r>
    </w:p>
    <w:p w14:paraId="489E8FF1" w14:textId="77777777" w:rsidR="00371129" w:rsidRPr="00930D69" w:rsidRDefault="00371129" w:rsidP="003D4D92">
      <w:pPr>
        <w:jc w:val="center"/>
        <w:rPr>
          <w:rFonts w:eastAsia="Times New Roman" w:cs="Times New Roman"/>
          <w:b/>
          <w:bCs/>
          <w:szCs w:val="24"/>
        </w:rPr>
      </w:pPr>
    </w:p>
    <w:p w14:paraId="61470EBA" w14:textId="77777777" w:rsidR="006155FA" w:rsidRDefault="006155FA" w:rsidP="003D4D92">
      <w:pPr>
        <w:jc w:val="center"/>
        <w:rPr>
          <w:rFonts w:eastAsia="Times New Roman" w:cs="Times New Roman"/>
          <w:b/>
          <w:bCs/>
          <w:szCs w:val="24"/>
        </w:rPr>
      </w:pPr>
    </w:p>
    <w:p w14:paraId="3F988F27" w14:textId="77777777" w:rsidR="000004AD" w:rsidRDefault="000004AD" w:rsidP="003D4D92">
      <w:pPr>
        <w:jc w:val="center"/>
        <w:rPr>
          <w:rFonts w:eastAsia="Times New Roman" w:cs="Times New Roman"/>
          <w:b/>
          <w:bCs/>
          <w:szCs w:val="24"/>
        </w:rPr>
      </w:pPr>
    </w:p>
    <w:p w14:paraId="76A80607" w14:textId="77777777" w:rsidR="000004AD" w:rsidRDefault="000004AD" w:rsidP="003D4D92">
      <w:pPr>
        <w:jc w:val="center"/>
        <w:rPr>
          <w:rFonts w:eastAsia="Times New Roman" w:cs="Times New Roman"/>
          <w:b/>
          <w:bCs/>
          <w:szCs w:val="24"/>
        </w:rPr>
      </w:pPr>
    </w:p>
    <w:p w14:paraId="342D314E" w14:textId="77777777" w:rsidR="000004AD" w:rsidRDefault="000004AD" w:rsidP="003D4D92">
      <w:pPr>
        <w:jc w:val="center"/>
        <w:rPr>
          <w:rFonts w:eastAsia="Times New Roman" w:cs="Times New Roman"/>
          <w:b/>
          <w:bCs/>
          <w:szCs w:val="24"/>
        </w:rPr>
      </w:pPr>
    </w:p>
    <w:p w14:paraId="7B7B4702" w14:textId="77777777" w:rsidR="000004AD" w:rsidRDefault="000004AD" w:rsidP="003D4D92">
      <w:pPr>
        <w:jc w:val="center"/>
        <w:rPr>
          <w:rFonts w:eastAsia="Times New Roman" w:cs="Times New Roman"/>
          <w:b/>
          <w:bCs/>
          <w:szCs w:val="24"/>
        </w:rPr>
      </w:pPr>
    </w:p>
    <w:p w14:paraId="568BCDC4" w14:textId="77777777" w:rsidR="000004AD" w:rsidRDefault="000004AD" w:rsidP="003D4D92">
      <w:pPr>
        <w:jc w:val="center"/>
        <w:rPr>
          <w:rFonts w:eastAsia="Times New Roman" w:cs="Times New Roman"/>
          <w:b/>
          <w:bCs/>
          <w:szCs w:val="24"/>
        </w:rPr>
      </w:pPr>
    </w:p>
    <w:p w14:paraId="59BECFC3" w14:textId="77777777" w:rsidR="000004AD" w:rsidRDefault="000004AD" w:rsidP="003D4D92">
      <w:pPr>
        <w:jc w:val="center"/>
        <w:rPr>
          <w:rFonts w:eastAsia="Times New Roman" w:cs="Times New Roman"/>
          <w:b/>
          <w:bCs/>
          <w:szCs w:val="24"/>
        </w:rPr>
      </w:pPr>
    </w:p>
    <w:p w14:paraId="02C127B8" w14:textId="77777777" w:rsidR="000004AD" w:rsidRDefault="000004AD" w:rsidP="003D4D92">
      <w:pPr>
        <w:jc w:val="center"/>
        <w:rPr>
          <w:rFonts w:eastAsia="Times New Roman" w:cs="Times New Roman"/>
          <w:b/>
          <w:bCs/>
          <w:szCs w:val="24"/>
        </w:rPr>
      </w:pPr>
    </w:p>
    <w:p w14:paraId="4D7D6063" w14:textId="77777777" w:rsidR="000004AD" w:rsidRDefault="000004AD" w:rsidP="003D4D92">
      <w:pPr>
        <w:jc w:val="center"/>
        <w:rPr>
          <w:rFonts w:eastAsia="Times New Roman" w:cs="Times New Roman"/>
          <w:b/>
          <w:bCs/>
          <w:szCs w:val="24"/>
        </w:rPr>
      </w:pPr>
    </w:p>
    <w:p w14:paraId="1A2B04FD" w14:textId="77777777" w:rsidR="000004AD" w:rsidRDefault="000004AD" w:rsidP="003D4D92">
      <w:pPr>
        <w:jc w:val="center"/>
        <w:rPr>
          <w:rFonts w:eastAsia="Times New Roman" w:cs="Times New Roman"/>
          <w:b/>
          <w:bCs/>
          <w:szCs w:val="24"/>
        </w:rPr>
      </w:pPr>
    </w:p>
    <w:p w14:paraId="4D2FEA7A" w14:textId="77777777" w:rsidR="000004AD" w:rsidRDefault="000004AD" w:rsidP="003D4D92">
      <w:pPr>
        <w:jc w:val="center"/>
        <w:rPr>
          <w:rFonts w:eastAsia="Times New Roman" w:cs="Times New Roman"/>
          <w:b/>
          <w:bCs/>
          <w:szCs w:val="24"/>
        </w:rPr>
      </w:pPr>
    </w:p>
    <w:p w14:paraId="24A10CA3" w14:textId="77777777" w:rsidR="000004AD" w:rsidRDefault="000004AD" w:rsidP="003D4D92">
      <w:pPr>
        <w:jc w:val="center"/>
        <w:rPr>
          <w:rFonts w:eastAsia="Times New Roman" w:cs="Times New Roman"/>
          <w:b/>
          <w:bCs/>
          <w:szCs w:val="24"/>
        </w:rPr>
      </w:pPr>
    </w:p>
    <w:p w14:paraId="1AC2F529" w14:textId="77777777" w:rsidR="000004AD" w:rsidRDefault="000004AD" w:rsidP="003D4D92">
      <w:pPr>
        <w:jc w:val="center"/>
        <w:rPr>
          <w:rFonts w:eastAsia="Times New Roman" w:cs="Times New Roman"/>
          <w:b/>
          <w:bCs/>
          <w:szCs w:val="24"/>
        </w:rPr>
      </w:pPr>
    </w:p>
    <w:p w14:paraId="501B572C" w14:textId="646ED6EC" w:rsidR="006155FA" w:rsidRDefault="006155FA" w:rsidP="003D4D92">
      <w:pPr>
        <w:jc w:val="center"/>
        <w:rPr>
          <w:rFonts w:eastAsia="Times New Roman" w:cs="Times New Roman"/>
          <w:b/>
          <w:bCs/>
          <w:szCs w:val="24"/>
        </w:rPr>
      </w:pPr>
    </w:p>
    <w:p w14:paraId="017804AB" w14:textId="77777777" w:rsidR="000004AD" w:rsidRPr="00930D69" w:rsidRDefault="000004AD" w:rsidP="003D4D92">
      <w:pPr>
        <w:jc w:val="center"/>
        <w:rPr>
          <w:rFonts w:eastAsia="Times New Roman" w:cs="Times New Roman"/>
          <w:b/>
          <w:bCs/>
          <w:szCs w:val="24"/>
        </w:rPr>
      </w:pPr>
    </w:p>
    <w:p w14:paraId="15238D55" w14:textId="49ABCE4C" w:rsidR="00371129" w:rsidRPr="00930D69" w:rsidRDefault="00371129" w:rsidP="00C420DC">
      <w:pPr>
        <w:tabs>
          <w:tab w:val="left" w:pos="3261"/>
          <w:tab w:val="left" w:pos="5790"/>
        </w:tabs>
        <w:spacing w:line="240" w:lineRule="auto"/>
        <w:jc w:val="center"/>
        <w:rPr>
          <w:rFonts w:eastAsia="Times New Roman" w:cs="Times New Roman"/>
          <w:b/>
          <w:bCs/>
          <w:szCs w:val="24"/>
        </w:rPr>
      </w:pPr>
      <w:r w:rsidRPr="00930D69">
        <w:rPr>
          <w:rFonts w:eastAsia="Times New Roman" w:cs="Times New Roman"/>
          <w:b/>
          <w:bCs/>
          <w:szCs w:val="24"/>
        </w:rPr>
        <w:lastRenderedPageBreak/>
        <w:t>RESUMEN</w:t>
      </w:r>
    </w:p>
    <w:p w14:paraId="74BC908E" w14:textId="77777777" w:rsidR="002B1414" w:rsidRPr="002B1414" w:rsidRDefault="002B1414" w:rsidP="002B1414">
      <w:pPr>
        <w:tabs>
          <w:tab w:val="left" w:pos="1860"/>
          <w:tab w:val="left" w:pos="5790"/>
        </w:tabs>
        <w:spacing w:line="240" w:lineRule="auto"/>
        <w:jc w:val="both"/>
        <w:rPr>
          <w:rFonts w:cs="Times New Roman"/>
          <w:sz w:val="22"/>
          <w:szCs w:val="20"/>
        </w:rPr>
      </w:pPr>
      <w:r w:rsidRPr="00223B50">
        <w:rPr>
          <w:rFonts w:cs="Times New Roman"/>
          <w:b/>
          <w:bCs/>
          <w:sz w:val="22"/>
          <w:szCs w:val="20"/>
        </w:rPr>
        <w:t>Introducción:</w:t>
      </w:r>
      <w:r w:rsidRPr="002B1414">
        <w:rPr>
          <w:rFonts w:cs="Times New Roman"/>
          <w:sz w:val="22"/>
          <w:szCs w:val="20"/>
        </w:rPr>
        <w:t xml:space="preserve"> La enfermedad hepática </w:t>
      </w:r>
      <w:proofErr w:type="spellStart"/>
      <w:r w:rsidRPr="002B1414">
        <w:rPr>
          <w:rFonts w:cs="Times New Roman"/>
          <w:sz w:val="22"/>
          <w:szCs w:val="20"/>
        </w:rPr>
        <w:t>esteatósica</w:t>
      </w:r>
      <w:proofErr w:type="spellEnd"/>
      <w:r w:rsidRPr="002B1414">
        <w:rPr>
          <w:rFonts w:cs="Times New Roman"/>
          <w:sz w:val="22"/>
          <w:szCs w:val="20"/>
        </w:rPr>
        <w:t xml:space="preserve"> asociada a disfunción metabólica (MAFLD) constituye una de las principales causas de enfermedad hepática crónica a nivel mundial. Aunque su desarrollo se asocia principalmente con el sobrepeso y la obesidad, estudios recientes han demostrado la existencia del fenotipo lean MAFLD, caracterizado por alteraciones hepáticas en individuos con índice de masa corporal (IMC) normal. En este contexto, la evaluación de las transaminasas séricas representa una estrategia accesible para identificar alteraciones hepatocelulares tempranas y seleccionar individuos candidatos para estudios complementarios.</w:t>
      </w:r>
    </w:p>
    <w:p w14:paraId="01028044" w14:textId="77777777" w:rsidR="002B1414" w:rsidRPr="002B1414" w:rsidRDefault="002B1414" w:rsidP="002B1414">
      <w:pPr>
        <w:tabs>
          <w:tab w:val="left" w:pos="1860"/>
          <w:tab w:val="left" w:pos="5790"/>
        </w:tabs>
        <w:spacing w:line="240" w:lineRule="auto"/>
        <w:jc w:val="both"/>
        <w:rPr>
          <w:rFonts w:cs="Times New Roman"/>
          <w:sz w:val="22"/>
          <w:szCs w:val="20"/>
        </w:rPr>
      </w:pPr>
    </w:p>
    <w:p w14:paraId="57FF5ABD" w14:textId="77777777" w:rsidR="002B1414" w:rsidRPr="002B1414" w:rsidRDefault="002B1414" w:rsidP="002B1414">
      <w:pPr>
        <w:tabs>
          <w:tab w:val="left" w:pos="1860"/>
          <w:tab w:val="left" w:pos="5790"/>
        </w:tabs>
        <w:spacing w:line="240" w:lineRule="auto"/>
        <w:jc w:val="both"/>
        <w:rPr>
          <w:rFonts w:cs="Times New Roman"/>
          <w:sz w:val="22"/>
          <w:szCs w:val="20"/>
        </w:rPr>
      </w:pPr>
      <w:r w:rsidRPr="00223B50">
        <w:rPr>
          <w:rFonts w:cs="Times New Roman"/>
          <w:b/>
          <w:bCs/>
          <w:sz w:val="22"/>
          <w:szCs w:val="20"/>
        </w:rPr>
        <w:t xml:space="preserve">Objetivo: </w:t>
      </w:r>
      <w:r w:rsidRPr="002B1414">
        <w:rPr>
          <w:rFonts w:cs="Times New Roman"/>
          <w:sz w:val="22"/>
          <w:szCs w:val="20"/>
        </w:rPr>
        <w:t>Determinar la prevalencia de elevación de transaminasas como indicador bioquímico de sospecha de MAFLD en estudiantes de Medicina con peso normal.</w:t>
      </w:r>
    </w:p>
    <w:p w14:paraId="7A48DAAD" w14:textId="77777777" w:rsidR="002B1414" w:rsidRPr="002B1414" w:rsidRDefault="002B1414" w:rsidP="002B1414">
      <w:pPr>
        <w:tabs>
          <w:tab w:val="left" w:pos="1860"/>
          <w:tab w:val="left" w:pos="5790"/>
        </w:tabs>
        <w:spacing w:line="240" w:lineRule="auto"/>
        <w:jc w:val="both"/>
        <w:rPr>
          <w:rFonts w:cs="Times New Roman"/>
          <w:sz w:val="22"/>
          <w:szCs w:val="20"/>
        </w:rPr>
      </w:pPr>
    </w:p>
    <w:p w14:paraId="57FA183B" w14:textId="52925169" w:rsidR="002B1414" w:rsidRPr="002B1414" w:rsidRDefault="002B1414" w:rsidP="002B1414">
      <w:pPr>
        <w:tabs>
          <w:tab w:val="left" w:pos="1860"/>
          <w:tab w:val="left" w:pos="5790"/>
        </w:tabs>
        <w:spacing w:line="240" w:lineRule="auto"/>
        <w:jc w:val="both"/>
        <w:rPr>
          <w:rFonts w:cs="Times New Roman"/>
          <w:sz w:val="22"/>
          <w:szCs w:val="20"/>
        </w:rPr>
      </w:pPr>
      <w:r w:rsidRPr="00223B50">
        <w:rPr>
          <w:rFonts w:cs="Times New Roman"/>
          <w:b/>
          <w:bCs/>
          <w:sz w:val="22"/>
          <w:szCs w:val="20"/>
        </w:rPr>
        <w:t>Metodología:</w:t>
      </w:r>
      <w:r w:rsidRPr="002B1414">
        <w:rPr>
          <w:rFonts w:cs="Times New Roman"/>
          <w:sz w:val="22"/>
          <w:szCs w:val="20"/>
        </w:rPr>
        <w:t xml:space="preserve"> Se realizó un estudio observacional, descriptivo, transversal y retrospectivo utilizando registros antropométricos y bioquímicos de 84 estudiantes de Medicina. La muestra estuvo conformada por 39 estudiantes con IMC normal, de los cuales 38 contaban con resultados completos de alanina aminotransferasa (ALT) y aspartato aminotransferasa (AST). </w:t>
      </w:r>
      <w:r w:rsidR="00D41D2E" w:rsidRPr="00D41D2E">
        <w:rPr>
          <w:rFonts w:cs="Times New Roman"/>
          <w:sz w:val="22"/>
          <w:szCs w:val="20"/>
        </w:rPr>
        <w:t>Las variables cuantitativas se resumieron mediante medidas de tendencia central y dispersión, mientras que las variables cualitativas se describieron mediante frecuencias absolutas y porcentajes.</w:t>
      </w:r>
    </w:p>
    <w:p w14:paraId="3080732A" w14:textId="77777777" w:rsidR="002B1414" w:rsidRPr="002B1414" w:rsidRDefault="002B1414" w:rsidP="002B1414">
      <w:pPr>
        <w:tabs>
          <w:tab w:val="left" w:pos="1860"/>
          <w:tab w:val="left" w:pos="5790"/>
        </w:tabs>
        <w:spacing w:line="240" w:lineRule="auto"/>
        <w:jc w:val="both"/>
        <w:rPr>
          <w:rFonts w:cs="Times New Roman"/>
          <w:sz w:val="22"/>
          <w:szCs w:val="20"/>
        </w:rPr>
      </w:pPr>
    </w:p>
    <w:p w14:paraId="4ACEE308" w14:textId="77777777" w:rsidR="002B1414" w:rsidRPr="002B1414" w:rsidRDefault="002B1414" w:rsidP="002B1414">
      <w:pPr>
        <w:tabs>
          <w:tab w:val="left" w:pos="1860"/>
          <w:tab w:val="left" w:pos="5790"/>
        </w:tabs>
        <w:spacing w:line="240" w:lineRule="auto"/>
        <w:jc w:val="both"/>
        <w:rPr>
          <w:rFonts w:cs="Times New Roman"/>
          <w:sz w:val="22"/>
          <w:szCs w:val="20"/>
        </w:rPr>
      </w:pPr>
      <w:r w:rsidRPr="00223B50">
        <w:rPr>
          <w:rFonts w:cs="Times New Roman"/>
          <w:b/>
          <w:bCs/>
          <w:sz w:val="22"/>
          <w:szCs w:val="20"/>
        </w:rPr>
        <w:t>Resultados:</w:t>
      </w:r>
      <w:r w:rsidRPr="002B1414">
        <w:rPr>
          <w:rFonts w:cs="Times New Roman"/>
          <w:sz w:val="22"/>
          <w:szCs w:val="20"/>
        </w:rPr>
        <w:t xml:space="preserve"> La media de ALT fue de 20,37 ± 13,53 U/L y la de AST de 25,50 ± 7,44 U/L. Se identificó elevación de ALT en el 7,9 % de los participantes y elevación de AST en el 5,3 %, evidenciando la presencia de alteraciones bioquímicas hepáticas en una proporción de estudiantes con peso normal. Estos hallazgos fueron interpretados como indicadores bioquímicos compatibles con sospecha de MAFLD, sin constituir un diagnóstico definitivo de la enfermedad.</w:t>
      </w:r>
    </w:p>
    <w:p w14:paraId="7DE87C66" w14:textId="77777777" w:rsidR="002B1414" w:rsidRPr="002B1414" w:rsidRDefault="002B1414" w:rsidP="002B1414">
      <w:pPr>
        <w:tabs>
          <w:tab w:val="left" w:pos="1860"/>
          <w:tab w:val="left" w:pos="5790"/>
        </w:tabs>
        <w:spacing w:line="240" w:lineRule="auto"/>
        <w:jc w:val="both"/>
        <w:rPr>
          <w:rFonts w:cs="Times New Roman"/>
          <w:sz w:val="22"/>
          <w:szCs w:val="20"/>
        </w:rPr>
      </w:pPr>
    </w:p>
    <w:p w14:paraId="2DF74479" w14:textId="77777777" w:rsidR="002B1414" w:rsidRDefault="002B1414" w:rsidP="002B1414">
      <w:pPr>
        <w:tabs>
          <w:tab w:val="left" w:pos="1860"/>
          <w:tab w:val="left" w:pos="5790"/>
        </w:tabs>
        <w:spacing w:line="240" w:lineRule="auto"/>
        <w:jc w:val="both"/>
        <w:rPr>
          <w:rFonts w:cs="Times New Roman"/>
          <w:b/>
          <w:bCs/>
          <w:sz w:val="22"/>
          <w:szCs w:val="20"/>
        </w:rPr>
      </w:pPr>
      <w:r w:rsidRPr="00223B50">
        <w:rPr>
          <w:rFonts w:cs="Times New Roman"/>
          <w:b/>
          <w:bCs/>
          <w:sz w:val="22"/>
          <w:szCs w:val="20"/>
        </w:rPr>
        <w:t>Conclusiones:</w:t>
      </w:r>
      <w:r w:rsidRPr="002B1414">
        <w:rPr>
          <w:rFonts w:cs="Times New Roman"/>
          <w:sz w:val="22"/>
          <w:szCs w:val="20"/>
        </w:rPr>
        <w:t xml:space="preserve"> La presencia de transaminasas elevadas en estudiantes con IMC normal demuestra que el riesgo de alteraciones hepáticas metabólicas no depende exclusivamente del exceso de peso corporal. La determinación de ALT y AST constituye una herramienta útil para el tamizaje inicial y puede contribuir a la detección temprana de individuos que requieren evaluación clínica y estudios complementarios para confirmar la presencia de MAFLD.</w:t>
      </w:r>
      <w:r w:rsidRPr="002B1414">
        <w:rPr>
          <w:rFonts w:cs="Times New Roman"/>
          <w:b/>
          <w:bCs/>
          <w:sz w:val="22"/>
          <w:szCs w:val="20"/>
        </w:rPr>
        <w:t xml:space="preserve"> </w:t>
      </w:r>
    </w:p>
    <w:p w14:paraId="6ADC86C2" w14:textId="77777777" w:rsidR="002B1414" w:rsidRDefault="002B1414" w:rsidP="002B1414">
      <w:pPr>
        <w:tabs>
          <w:tab w:val="left" w:pos="1860"/>
          <w:tab w:val="left" w:pos="5790"/>
        </w:tabs>
        <w:spacing w:line="240" w:lineRule="auto"/>
        <w:jc w:val="both"/>
        <w:rPr>
          <w:rFonts w:cs="Times New Roman"/>
          <w:b/>
          <w:bCs/>
          <w:sz w:val="22"/>
          <w:szCs w:val="20"/>
        </w:rPr>
      </w:pPr>
    </w:p>
    <w:p w14:paraId="365F80CD" w14:textId="39A9D4A2" w:rsidR="00695CE7" w:rsidRPr="00930D69" w:rsidRDefault="003D4D92" w:rsidP="002B1414">
      <w:pPr>
        <w:tabs>
          <w:tab w:val="left" w:pos="1860"/>
          <w:tab w:val="left" w:pos="5790"/>
        </w:tabs>
        <w:spacing w:line="240" w:lineRule="auto"/>
        <w:jc w:val="both"/>
        <w:rPr>
          <w:rFonts w:cs="Times New Roman"/>
          <w:sz w:val="22"/>
          <w:szCs w:val="20"/>
        </w:rPr>
      </w:pPr>
      <w:r w:rsidRPr="00930D69">
        <w:rPr>
          <w:rFonts w:cs="Times New Roman"/>
          <w:b/>
          <w:bCs/>
          <w:sz w:val="22"/>
          <w:szCs w:val="20"/>
        </w:rPr>
        <w:t>Palabras clave:</w:t>
      </w:r>
      <w:r w:rsidRPr="00930D69">
        <w:rPr>
          <w:rFonts w:cs="Times New Roman"/>
          <w:sz w:val="22"/>
          <w:szCs w:val="20"/>
        </w:rPr>
        <w:t xml:space="preserve"> </w:t>
      </w:r>
      <w:bookmarkStart w:id="1" w:name="_Hlk218592456"/>
      <w:r w:rsidR="00D41D2E" w:rsidRPr="00D41D2E">
        <w:rPr>
          <w:rFonts w:cs="Times New Roman"/>
          <w:sz w:val="22"/>
          <w:szCs w:val="20"/>
        </w:rPr>
        <w:t>MAFLD; transaminasas; enzimas hepáticas; peso normal; estudiantes de Medicina.</w:t>
      </w:r>
    </w:p>
    <w:bookmarkEnd w:id="1"/>
    <w:p w14:paraId="203A6518" w14:textId="77777777" w:rsidR="00695CE7" w:rsidRPr="00930D69" w:rsidRDefault="00695CE7" w:rsidP="00C420DC">
      <w:pPr>
        <w:tabs>
          <w:tab w:val="left" w:pos="1860"/>
          <w:tab w:val="left" w:pos="5790"/>
        </w:tabs>
        <w:spacing w:line="240" w:lineRule="auto"/>
        <w:jc w:val="both"/>
        <w:rPr>
          <w:rFonts w:cs="Times New Roman"/>
          <w:szCs w:val="24"/>
        </w:rPr>
      </w:pPr>
    </w:p>
    <w:p w14:paraId="3B4D6DCE" w14:textId="5C1BECFD" w:rsidR="003D4D92" w:rsidRPr="00930D69" w:rsidRDefault="003D4D92" w:rsidP="00C420DC">
      <w:pPr>
        <w:tabs>
          <w:tab w:val="left" w:pos="3261"/>
          <w:tab w:val="left" w:pos="5790"/>
        </w:tabs>
        <w:spacing w:line="240" w:lineRule="auto"/>
        <w:jc w:val="center"/>
        <w:rPr>
          <w:rFonts w:eastAsia="Times New Roman" w:cs="Times New Roman"/>
          <w:b/>
          <w:bCs/>
          <w:szCs w:val="24"/>
          <w:lang w:val="en-GB"/>
        </w:rPr>
      </w:pPr>
      <w:r w:rsidRPr="00930D69">
        <w:rPr>
          <w:rFonts w:eastAsia="Times New Roman" w:cs="Times New Roman"/>
          <w:b/>
          <w:bCs/>
          <w:szCs w:val="24"/>
          <w:lang w:val="en-GB"/>
        </w:rPr>
        <w:t>ABSTRACT</w:t>
      </w:r>
    </w:p>
    <w:p w14:paraId="1E664962" w14:textId="77777777" w:rsidR="002B1414" w:rsidRPr="002B1414" w:rsidRDefault="002B1414" w:rsidP="002B1414">
      <w:pPr>
        <w:tabs>
          <w:tab w:val="left" w:pos="1985"/>
        </w:tabs>
        <w:spacing w:line="240" w:lineRule="auto"/>
        <w:jc w:val="both"/>
        <w:rPr>
          <w:rFonts w:cs="Times New Roman"/>
          <w:sz w:val="22"/>
          <w:szCs w:val="20"/>
          <w:lang w:val="en-GB"/>
        </w:rPr>
      </w:pPr>
      <w:r w:rsidRPr="00223B50">
        <w:rPr>
          <w:rFonts w:cs="Times New Roman"/>
          <w:b/>
          <w:bCs/>
          <w:sz w:val="22"/>
          <w:szCs w:val="20"/>
          <w:lang w:val="en-GB"/>
        </w:rPr>
        <w:t>Introduction:</w:t>
      </w:r>
      <w:r w:rsidRPr="002B1414">
        <w:rPr>
          <w:rFonts w:cs="Times New Roman"/>
          <w:sz w:val="22"/>
          <w:szCs w:val="20"/>
          <w:lang w:val="en-GB"/>
        </w:rPr>
        <w:t xml:space="preserve"> Metabolic dysfunction-associated fatty liver disease (MAFLD) is one of the leading causes of chronic liver disease worldwide. Although it has traditionally been associated with overweight and obesity, recent evidence has identified the lean MAFLD phenotype, characterized by metabolic liver abnormalities in individuals with a normal body mass index (BMI). In this context, serum transaminases represent accessible biochemical markers for the early detection of potential hepatocellular injury and the identification of individuals requiring further diagnostic evaluation.</w:t>
      </w:r>
    </w:p>
    <w:p w14:paraId="5519E993" w14:textId="77777777" w:rsidR="002B1414" w:rsidRPr="002B1414" w:rsidRDefault="002B1414" w:rsidP="002B1414">
      <w:pPr>
        <w:tabs>
          <w:tab w:val="left" w:pos="1985"/>
        </w:tabs>
        <w:spacing w:line="240" w:lineRule="auto"/>
        <w:jc w:val="both"/>
        <w:rPr>
          <w:rFonts w:cs="Times New Roman"/>
          <w:sz w:val="22"/>
          <w:szCs w:val="20"/>
          <w:lang w:val="en-GB"/>
        </w:rPr>
      </w:pPr>
    </w:p>
    <w:p w14:paraId="5E229659" w14:textId="77777777" w:rsidR="002B1414" w:rsidRPr="002B1414" w:rsidRDefault="002B1414" w:rsidP="002B1414">
      <w:pPr>
        <w:tabs>
          <w:tab w:val="left" w:pos="1985"/>
        </w:tabs>
        <w:spacing w:line="240" w:lineRule="auto"/>
        <w:jc w:val="both"/>
        <w:rPr>
          <w:rFonts w:cs="Times New Roman"/>
          <w:sz w:val="22"/>
          <w:szCs w:val="20"/>
          <w:lang w:val="en-GB"/>
        </w:rPr>
      </w:pPr>
      <w:r w:rsidRPr="00223B50">
        <w:rPr>
          <w:rFonts w:cs="Times New Roman"/>
          <w:b/>
          <w:bCs/>
          <w:sz w:val="22"/>
          <w:szCs w:val="20"/>
          <w:lang w:val="en-GB"/>
        </w:rPr>
        <w:t>Objective:</w:t>
      </w:r>
      <w:r w:rsidRPr="002B1414">
        <w:rPr>
          <w:rFonts w:cs="Times New Roman"/>
          <w:sz w:val="22"/>
          <w:szCs w:val="20"/>
          <w:lang w:val="en-GB"/>
        </w:rPr>
        <w:t xml:space="preserve"> To determine the prevalence of elevated liver transaminases as a biochemical indicator suggestive of MAFLD among normal-weight medical students.</w:t>
      </w:r>
    </w:p>
    <w:p w14:paraId="6FEECE63" w14:textId="77777777" w:rsidR="002B1414" w:rsidRPr="002B1414" w:rsidRDefault="002B1414" w:rsidP="002B1414">
      <w:pPr>
        <w:tabs>
          <w:tab w:val="left" w:pos="1985"/>
        </w:tabs>
        <w:spacing w:line="240" w:lineRule="auto"/>
        <w:jc w:val="both"/>
        <w:rPr>
          <w:rFonts w:cs="Times New Roman"/>
          <w:sz w:val="22"/>
          <w:szCs w:val="20"/>
          <w:lang w:val="en-GB"/>
        </w:rPr>
      </w:pPr>
    </w:p>
    <w:p w14:paraId="3770A80C" w14:textId="29FD5B8F" w:rsidR="002B1414" w:rsidRPr="002B1414" w:rsidRDefault="002B1414" w:rsidP="002B1414">
      <w:pPr>
        <w:tabs>
          <w:tab w:val="left" w:pos="1985"/>
        </w:tabs>
        <w:spacing w:line="240" w:lineRule="auto"/>
        <w:jc w:val="both"/>
        <w:rPr>
          <w:rFonts w:cs="Times New Roman"/>
          <w:sz w:val="22"/>
          <w:szCs w:val="20"/>
          <w:lang w:val="en-GB"/>
        </w:rPr>
      </w:pPr>
      <w:r w:rsidRPr="00223B50">
        <w:rPr>
          <w:rFonts w:cs="Times New Roman"/>
          <w:b/>
          <w:bCs/>
          <w:sz w:val="22"/>
          <w:szCs w:val="20"/>
          <w:lang w:val="en-GB"/>
        </w:rPr>
        <w:t>Methods:</w:t>
      </w:r>
      <w:r w:rsidRPr="002B1414">
        <w:rPr>
          <w:rFonts w:cs="Times New Roman"/>
          <w:sz w:val="22"/>
          <w:szCs w:val="20"/>
          <w:lang w:val="en-GB"/>
        </w:rPr>
        <w:t xml:space="preserve"> A retrospective, cross-sectional, descriptive observational study was conducted using anthropometric and biochemical records from 84 medical students. The analytical sample consisted of 39 students with normal BMI, of whom 38 had complete alanine aminotransferase (ALT) and aspartate aminotransferase (AST) measurements. </w:t>
      </w:r>
      <w:r w:rsidR="00D41D2E" w:rsidRPr="00D41D2E">
        <w:rPr>
          <w:rFonts w:cs="Times New Roman"/>
          <w:sz w:val="22"/>
          <w:szCs w:val="20"/>
          <w:lang w:val="en-GB"/>
        </w:rPr>
        <w:t>Quantitative variables were summarized using measures of central tendency and dispersion, whereas qualitative variables were described using absolute frequencies and percentages.</w:t>
      </w:r>
    </w:p>
    <w:p w14:paraId="77EBA667" w14:textId="77777777" w:rsidR="002B1414" w:rsidRPr="002B1414" w:rsidRDefault="002B1414" w:rsidP="002B1414">
      <w:pPr>
        <w:tabs>
          <w:tab w:val="left" w:pos="1985"/>
        </w:tabs>
        <w:spacing w:line="240" w:lineRule="auto"/>
        <w:jc w:val="both"/>
        <w:rPr>
          <w:rFonts w:cs="Times New Roman"/>
          <w:sz w:val="22"/>
          <w:szCs w:val="20"/>
          <w:lang w:val="en-GB"/>
        </w:rPr>
      </w:pPr>
    </w:p>
    <w:p w14:paraId="265BB9A7" w14:textId="77777777" w:rsidR="002B1414" w:rsidRPr="002B1414" w:rsidRDefault="002B1414" w:rsidP="002B1414">
      <w:pPr>
        <w:tabs>
          <w:tab w:val="left" w:pos="1985"/>
        </w:tabs>
        <w:spacing w:line="240" w:lineRule="auto"/>
        <w:jc w:val="both"/>
        <w:rPr>
          <w:rFonts w:cs="Times New Roman"/>
          <w:sz w:val="22"/>
          <w:szCs w:val="20"/>
          <w:lang w:val="en-GB"/>
        </w:rPr>
      </w:pPr>
      <w:r w:rsidRPr="00223B50">
        <w:rPr>
          <w:rFonts w:cs="Times New Roman"/>
          <w:b/>
          <w:bCs/>
          <w:sz w:val="22"/>
          <w:szCs w:val="20"/>
          <w:lang w:val="en-GB"/>
        </w:rPr>
        <w:t>Results:</w:t>
      </w:r>
      <w:r w:rsidRPr="002B1414">
        <w:rPr>
          <w:rFonts w:cs="Times New Roman"/>
          <w:sz w:val="22"/>
          <w:szCs w:val="20"/>
          <w:lang w:val="en-GB"/>
        </w:rPr>
        <w:t xml:space="preserve"> The mean ALT and AST levels were 20.37 ± 13.53 U/L and 25.50 ± 7.44 U/L, respectively. Elevated ALT levels were identified in 7.9% of participants, whereas elevated AST levels were observed in 5.3%. These findings indicate the presence of biochemical liver abnormalities in a subset of normal-weight medical students and were interpreted as biochemical indicators suggestive of MAFLD rather than definitive diagnostic evidence.</w:t>
      </w:r>
    </w:p>
    <w:p w14:paraId="27EDF571" w14:textId="77777777" w:rsidR="002B1414" w:rsidRPr="002B1414" w:rsidRDefault="002B1414" w:rsidP="002B1414">
      <w:pPr>
        <w:tabs>
          <w:tab w:val="left" w:pos="1985"/>
        </w:tabs>
        <w:spacing w:line="240" w:lineRule="auto"/>
        <w:jc w:val="both"/>
        <w:rPr>
          <w:rFonts w:cs="Times New Roman"/>
          <w:sz w:val="22"/>
          <w:szCs w:val="20"/>
          <w:lang w:val="en-GB"/>
        </w:rPr>
      </w:pPr>
    </w:p>
    <w:p w14:paraId="257DA19E" w14:textId="6EEDA53F" w:rsidR="00695CE7" w:rsidRDefault="002B1414" w:rsidP="002B1414">
      <w:pPr>
        <w:tabs>
          <w:tab w:val="left" w:pos="1985"/>
        </w:tabs>
        <w:spacing w:line="240" w:lineRule="auto"/>
        <w:jc w:val="both"/>
        <w:rPr>
          <w:rFonts w:cs="Times New Roman"/>
          <w:sz w:val="22"/>
          <w:szCs w:val="20"/>
          <w:lang w:val="en-GB"/>
        </w:rPr>
      </w:pPr>
      <w:r w:rsidRPr="00223B50">
        <w:rPr>
          <w:rFonts w:cs="Times New Roman"/>
          <w:b/>
          <w:bCs/>
          <w:sz w:val="22"/>
          <w:szCs w:val="20"/>
          <w:lang w:val="en-GB"/>
        </w:rPr>
        <w:t>Conclusions:</w:t>
      </w:r>
      <w:r w:rsidRPr="002B1414">
        <w:rPr>
          <w:rFonts w:cs="Times New Roman"/>
          <w:sz w:val="22"/>
          <w:szCs w:val="20"/>
          <w:lang w:val="en-GB"/>
        </w:rPr>
        <w:t xml:space="preserve"> Elevated liver transaminases in normal-weight medical students suggest that the risk of metabolic liver disease is not exclusively associated with excess body weight. Although ALT and AST alone cannot confirm the diagnosis of MAFLD, they constitute practical and cost-effective screening biomarkers that may facilitate early identification of individuals who require comprehensive hepatic and metabolic assessment.</w:t>
      </w:r>
    </w:p>
    <w:p w14:paraId="6D31206D" w14:textId="77777777" w:rsidR="002B1414" w:rsidRPr="00930D69" w:rsidRDefault="002B1414" w:rsidP="002B1414">
      <w:pPr>
        <w:tabs>
          <w:tab w:val="left" w:pos="1985"/>
        </w:tabs>
        <w:spacing w:line="240" w:lineRule="auto"/>
        <w:jc w:val="both"/>
        <w:rPr>
          <w:rFonts w:cs="Times New Roman"/>
          <w:b/>
          <w:bCs/>
          <w:sz w:val="22"/>
          <w:szCs w:val="20"/>
          <w:lang w:val="en-GB"/>
        </w:rPr>
      </w:pPr>
    </w:p>
    <w:p w14:paraId="2106EA58" w14:textId="5CFF3E6B" w:rsidR="006B1F91" w:rsidRPr="00D41D2E" w:rsidRDefault="003D4D92" w:rsidP="00C420DC">
      <w:pPr>
        <w:tabs>
          <w:tab w:val="left" w:pos="1985"/>
        </w:tabs>
        <w:spacing w:line="240" w:lineRule="auto"/>
        <w:jc w:val="both"/>
        <w:rPr>
          <w:rFonts w:cs="Times New Roman"/>
          <w:sz w:val="22"/>
          <w:szCs w:val="20"/>
          <w:lang w:val="en-US"/>
        </w:rPr>
      </w:pPr>
      <w:r w:rsidRPr="00D41D2E">
        <w:rPr>
          <w:rFonts w:cs="Times New Roman"/>
          <w:b/>
          <w:bCs/>
          <w:sz w:val="22"/>
          <w:szCs w:val="20"/>
          <w:lang w:val="en-US"/>
        </w:rPr>
        <w:t>Keywords:</w:t>
      </w:r>
      <w:r w:rsidR="00B3736F" w:rsidRPr="00D41D2E">
        <w:rPr>
          <w:rFonts w:cs="Times New Roman"/>
          <w:b/>
          <w:bCs/>
          <w:sz w:val="22"/>
          <w:szCs w:val="20"/>
          <w:lang w:val="en-US"/>
        </w:rPr>
        <w:t xml:space="preserve"> </w:t>
      </w:r>
      <w:r w:rsidR="00D41D2E" w:rsidRPr="00D41D2E">
        <w:rPr>
          <w:rFonts w:cs="Times New Roman"/>
          <w:sz w:val="22"/>
          <w:szCs w:val="20"/>
          <w:lang w:val="en-US"/>
        </w:rPr>
        <w:t>MAFLD; transaminases; liver enzymes; normal weight; medical students.</w:t>
      </w:r>
    </w:p>
    <w:p w14:paraId="6A620768" w14:textId="77777777" w:rsidR="00C420DC" w:rsidRPr="00D41D2E" w:rsidRDefault="00C420DC" w:rsidP="003D4D92">
      <w:pPr>
        <w:jc w:val="both"/>
        <w:rPr>
          <w:rFonts w:cs="Times New Roman"/>
          <w:lang w:val="en-US"/>
        </w:rPr>
      </w:pPr>
    </w:p>
    <w:p w14:paraId="17C4CE1B" w14:textId="77777777" w:rsidR="003D4D92" w:rsidRPr="00930D69" w:rsidRDefault="003D4D92" w:rsidP="00F37961">
      <w:pPr>
        <w:jc w:val="both"/>
        <w:rPr>
          <w:rFonts w:cs="Times New Roman"/>
          <w:b/>
          <w:sz w:val="28"/>
          <w:szCs w:val="28"/>
        </w:rPr>
      </w:pPr>
      <w:r w:rsidRPr="00930D69">
        <w:rPr>
          <w:rFonts w:cs="Times New Roman"/>
          <w:b/>
          <w:sz w:val="28"/>
          <w:szCs w:val="28"/>
        </w:rPr>
        <w:t>1. INTRODUCCIÓN</w:t>
      </w:r>
    </w:p>
    <w:p w14:paraId="2A5B8BEC" w14:textId="328B6E93" w:rsidR="003E7BC7" w:rsidRPr="003E7BC7" w:rsidRDefault="006C3579" w:rsidP="003E7BC7">
      <w:pPr>
        <w:jc w:val="both"/>
        <w:rPr>
          <w:rFonts w:cs="Times New Roman"/>
          <w:szCs w:val="24"/>
        </w:rPr>
      </w:pPr>
      <w:r w:rsidRPr="006C3579">
        <w:rPr>
          <w:rFonts w:cs="Times New Roman"/>
          <w:szCs w:val="24"/>
        </w:rPr>
        <w:t xml:space="preserve">La enfermedad hepática </w:t>
      </w:r>
      <w:proofErr w:type="spellStart"/>
      <w:r w:rsidRPr="006C3579">
        <w:rPr>
          <w:rFonts w:cs="Times New Roman"/>
          <w:szCs w:val="24"/>
        </w:rPr>
        <w:t>esteatósica</w:t>
      </w:r>
      <w:proofErr w:type="spellEnd"/>
      <w:r w:rsidRPr="006C3579">
        <w:rPr>
          <w:rFonts w:cs="Times New Roman"/>
          <w:szCs w:val="24"/>
        </w:rPr>
        <w:t xml:space="preserve"> asociada a disfunción metabólica (MAFLD) constituye una de las principales causas de enfermedad hepática crónica en el mundo y representa un importante problema de salud pública debido a su elevada prevalencia y a su potencial progresión hacia fibrosis, cirrosis y carcinoma hepatocelular (</w:t>
      </w:r>
      <w:proofErr w:type="spellStart"/>
      <w:r w:rsidRPr="006C3579">
        <w:rPr>
          <w:rFonts w:cs="Times New Roman"/>
          <w:szCs w:val="24"/>
        </w:rPr>
        <w:t>Younossi</w:t>
      </w:r>
      <w:proofErr w:type="spellEnd"/>
      <w:r w:rsidRPr="006C3579">
        <w:rPr>
          <w:rFonts w:cs="Times New Roman"/>
          <w:szCs w:val="24"/>
        </w:rPr>
        <w:t xml:space="preserve"> et al., 2023; EASL-EASD-EASO, 2024).</w:t>
      </w:r>
      <w:r w:rsidR="00824618">
        <w:rPr>
          <w:rFonts w:cs="Times New Roman"/>
          <w:szCs w:val="24"/>
        </w:rPr>
        <w:t xml:space="preserve"> </w:t>
      </w:r>
      <w:r w:rsidR="00824618" w:rsidRPr="00824618">
        <w:rPr>
          <w:rFonts w:cs="Times New Roman"/>
          <w:szCs w:val="24"/>
        </w:rPr>
        <w:t xml:space="preserve">Aunque en la literatura reciente la enfermedad ha sido redefinida como </w:t>
      </w:r>
      <w:proofErr w:type="spellStart"/>
      <w:r w:rsidR="00824618" w:rsidRPr="00824618">
        <w:rPr>
          <w:rFonts w:cs="Times New Roman"/>
          <w:szCs w:val="24"/>
        </w:rPr>
        <w:t>metabolic</w:t>
      </w:r>
      <w:proofErr w:type="spellEnd"/>
      <w:r w:rsidR="00824618" w:rsidRPr="00824618">
        <w:rPr>
          <w:rFonts w:cs="Times New Roman"/>
          <w:szCs w:val="24"/>
        </w:rPr>
        <w:t xml:space="preserve"> </w:t>
      </w:r>
      <w:proofErr w:type="spellStart"/>
      <w:r w:rsidR="00824618" w:rsidRPr="00824618">
        <w:rPr>
          <w:rFonts w:cs="Times New Roman"/>
          <w:szCs w:val="24"/>
        </w:rPr>
        <w:t>dysfunction-associated</w:t>
      </w:r>
      <w:proofErr w:type="spellEnd"/>
      <w:r w:rsidR="00824618" w:rsidRPr="00824618">
        <w:rPr>
          <w:rFonts w:cs="Times New Roman"/>
          <w:szCs w:val="24"/>
        </w:rPr>
        <w:t xml:space="preserve"> </w:t>
      </w:r>
      <w:proofErr w:type="spellStart"/>
      <w:r w:rsidR="00824618" w:rsidRPr="00824618">
        <w:rPr>
          <w:rFonts w:cs="Times New Roman"/>
          <w:szCs w:val="24"/>
        </w:rPr>
        <w:t>steatotic</w:t>
      </w:r>
      <w:proofErr w:type="spellEnd"/>
      <w:r w:rsidR="00824618" w:rsidRPr="00824618">
        <w:rPr>
          <w:rFonts w:cs="Times New Roman"/>
          <w:szCs w:val="24"/>
        </w:rPr>
        <w:t xml:space="preserve"> </w:t>
      </w:r>
      <w:proofErr w:type="spellStart"/>
      <w:r w:rsidR="00824618" w:rsidRPr="00824618">
        <w:rPr>
          <w:rFonts w:cs="Times New Roman"/>
          <w:szCs w:val="24"/>
        </w:rPr>
        <w:t>liver</w:t>
      </w:r>
      <w:proofErr w:type="spellEnd"/>
      <w:r w:rsidR="00824618" w:rsidRPr="00824618">
        <w:rPr>
          <w:rFonts w:cs="Times New Roman"/>
          <w:szCs w:val="24"/>
        </w:rPr>
        <w:t xml:space="preserve"> </w:t>
      </w:r>
      <w:proofErr w:type="spellStart"/>
      <w:r w:rsidR="00824618" w:rsidRPr="00824618">
        <w:rPr>
          <w:rFonts w:cs="Times New Roman"/>
          <w:szCs w:val="24"/>
        </w:rPr>
        <w:t>disease</w:t>
      </w:r>
      <w:proofErr w:type="spellEnd"/>
      <w:r w:rsidR="00824618" w:rsidRPr="00824618">
        <w:rPr>
          <w:rFonts w:cs="Times New Roman"/>
          <w:szCs w:val="24"/>
        </w:rPr>
        <w:t xml:space="preserve"> (MASLD), en el presente estudio se mantiene la denominación MAFLD por corresponder a la nomenclatura utilizada durante el diseño de la investigación y por su amplia presencia en la evidencia científica consultada.</w:t>
      </w:r>
    </w:p>
    <w:p w14:paraId="1513AE42" w14:textId="756DC61C" w:rsidR="003E7BC7" w:rsidRPr="003E7BC7" w:rsidRDefault="003E7BC7" w:rsidP="003E7BC7">
      <w:pPr>
        <w:jc w:val="both"/>
        <w:rPr>
          <w:rFonts w:cs="Times New Roman"/>
          <w:szCs w:val="24"/>
        </w:rPr>
      </w:pPr>
      <w:r w:rsidRPr="003E7BC7">
        <w:rPr>
          <w:rFonts w:cs="Times New Roman"/>
          <w:szCs w:val="24"/>
        </w:rPr>
        <w:t xml:space="preserve">Diversas investigaciones han demostrado que la prevalencia mundial de MAFLD continúa en aumento como consecuencia del incremento de la obesidad, el sedentarismo, los hábitos alimentarios inadecuados y la creciente incidencia de trastornos metabólicos. Sin embargo, en los últimos años ha surgido un fenómeno de considerable interés clínico: la presencia de enfermedad hepática </w:t>
      </w:r>
      <w:proofErr w:type="spellStart"/>
      <w:r w:rsidRPr="003E7BC7">
        <w:rPr>
          <w:rFonts w:cs="Times New Roman"/>
          <w:szCs w:val="24"/>
        </w:rPr>
        <w:t>esteatósica</w:t>
      </w:r>
      <w:proofErr w:type="spellEnd"/>
      <w:r w:rsidRPr="003E7BC7">
        <w:rPr>
          <w:rFonts w:cs="Times New Roman"/>
          <w:szCs w:val="24"/>
        </w:rPr>
        <w:t xml:space="preserve"> en personas con índice de masa corporal (IMC) dentro de los rangos considerados normales. Esta condición, conocida internacionalmente como lean MAFLD, </w:t>
      </w:r>
      <w:r w:rsidR="006C3579" w:rsidRPr="006C3579">
        <w:rPr>
          <w:rFonts w:cs="Times New Roman"/>
          <w:szCs w:val="24"/>
        </w:rPr>
        <w:t>ha despertado un creciente interés científico</w:t>
      </w:r>
      <w:r w:rsidRPr="003E7BC7">
        <w:rPr>
          <w:rFonts w:cs="Times New Roman"/>
          <w:szCs w:val="24"/>
        </w:rPr>
        <w:t xml:space="preserve"> debido a que </w:t>
      </w:r>
      <w:r w:rsidR="006C3579" w:rsidRPr="006C3579">
        <w:rPr>
          <w:rFonts w:cs="Times New Roman"/>
          <w:szCs w:val="24"/>
        </w:rPr>
        <w:t>evidencia que la ausencia de obesidad</w:t>
      </w:r>
      <w:r w:rsidRPr="003E7BC7">
        <w:rPr>
          <w:rFonts w:cs="Times New Roman"/>
          <w:szCs w:val="24"/>
        </w:rPr>
        <w:t xml:space="preserve"> no excluye el desarrollo de alteraciones hepáticas metabólicas. En consecuencia, numerosos individuos aparentemente sanos podrían permanecer sin diagnóstico durante años, favoreciendo la progresión silenciosa de la enfermedad</w:t>
      </w:r>
      <w:r w:rsidR="00B70560">
        <w:rPr>
          <w:rFonts w:cs="Times New Roman"/>
          <w:szCs w:val="24"/>
        </w:rPr>
        <w:t xml:space="preserve"> </w:t>
      </w:r>
      <w:r w:rsidR="00B70560" w:rsidRPr="00B70560">
        <w:rPr>
          <w:rFonts w:cs="Times New Roman"/>
          <w:szCs w:val="24"/>
        </w:rPr>
        <w:t>(Cheah et al., 2025; Tang et al., 2023).</w:t>
      </w:r>
    </w:p>
    <w:p w14:paraId="2F10E56E" w14:textId="77777777" w:rsidR="003E7BC7" w:rsidRPr="003E7BC7" w:rsidRDefault="003E7BC7" w:rsidP="003E7BC7">
      <w:pPr>
        <w:jc w:val="both"/>
        <w:rPr>
          <w:rFonts w:cs="Times New Roman"/>
          <w:szCs w:val="24"/>
        </w:rPr>
      </w:pPr>
    </w:p>
    <w:p w14:paraId="363E836E" w14:textId="5AA87B26" w:rsidR="003E7BC7" w:rsidRPr="003E7BC7" w:rsidRDefault="003E7BC7" w:rsidP="003E7BC7">
      <w:pPr>
        <w:jc w:val="both"/>
        <w:rPr>
          <w:rFonts w:cs="Times New Roman"/>
          <w:szCs w:val="24"/>
        </w:rPr>
      </w:pPr>
      <w:r w:rsidRPr="003E7BC7">
        <w:rPr>
          <w:rFonts w:cs="Times New Roman"/>
          <w:szCs w:val="24"/>
        </w:rPr>
        <w:lastRenderedPageBreak/>
        <w:t xml:space="preserve">La población universitaria constituye un grupo particularmente vulnerable al desarrollo de factores de riesgo metabólico. Los estudiantes de Medicina, debido a sus extensas jornadas académicas, elevados niveles de estrés, privación de sueño, sedentarismo y patrones irregulares de alimentación, </w:t>
      </w:r>
      <w:r w:rsidR="006C3579" w:rsidRPr="006C3579">
        <w:rPr>
          <w:rFonts w:cs="Times New Roman"/>
          <w:szCs w:val="24"/>
        </w:rPr>
        <w:t>presentan múltiples factores de riesgo que favorecen alteraciones metabólicas tempranas</w:t>
      </w:r>
      <w:r w:rsidRPr="003E7BC7">
        <w:rPr>
          <w:rFonts w:cs="Times New Roman"/>
          <w:szCs w:val="24"/>
        </w:rPr>
        <w:t xml:space="preserve"> incluso antes de manifestar cambios importantes en el peso corporal. Aunque tradicionalmente el exceso de peso ha sido considerado el principal factor asociado con la esteatosis hepática, estudios recientes evidencian que individuos con IMC normal también pueden presentar resistencia a la insulina, adiposidad visceral, inflamación de bajo grado y disfunción metabólica, condiciones relacionadas con el desarrollo de MAFLD</w:t>
      </w:r>
      <w:r w:rsidR="006C3579">
        <w:rPr>
          <w:rFonts w:cs="Times New Roman"/>
          <w:szCs w:val="24"/>
        </w:rPr>
        <w:t xml:space="preserve"> </w:t>
      </w:r>
      <w:r w:rsidR="006C3579" w:rsidRPr="006C3579">
        <w:rPr>
          <w:rFonts w:cs="Times New Roman"/>
          <w:szCs w:val="24"/>
        </w:rPr>
        <w:t>(</w:t>
      </w:r>
      <w:proofErr w:type="spellStart"/>
      <w:r w:rsidR="006C3579" w:rsidRPr="006C3579">
        <w:rPr>
          <w:rFonts w:cs="Times New Roman"/>
          <w:szCs w:val="24"/>
        </w:rPr>
        <w:t>Elhoseeny</w:t>
      </w:r>
      <w:proofErr w:type="spellEnd"/>
      <w:r w:rsidR="006C3579" w:rsidRPr="006C3579">
        <w:rPr>
          <w:rFonts w:cs="Times New Roman"/>
          <w:szCs w:val="24"/>
        </w:rPr>
        <w:t xml:space="preserve"> et al., 2025; Valbuena-Gregorio et al., 2025).</w:t>
      </w:r>
    </w:p>
    <w:p w14:paraId="1744DDF8" w14:textId="77777777" w:rsidR="003E7BC7" w:rsidRPr="003E7BC7" w:rsidRDefault="003E7BC7" w:rsidP="003E7BC7">
      <w:pPr>
        <w:jc w:val="both"/>
        <w:rPr>
          <w:rFonts w:cs="Times New Roman"/>
          <w:szCs w:val="24"/>
        </w:rPr>
      </w:pPr>
    </w:p>
    <w:p w14:paraId="48041FC0" w14:textId="095F5D5E" w:rsidR="003E7BC7" w:rsidRPr="003E7BC7" w:rsidRDefault="003E7BC7" w:rsidP="003E7BC7">
      <w:pPr>
        <w:jc w:val="both"/>
        <w:rPr>
          <w:rFonts w:cs="Times New Roman"/>
          <w:szCs w:val="24"/>
        </w:rPr>
      </w:pPr>
      <w:r w:rsidRPr="003E7BC7">
        <w:rPr>
          <w:rFonts w:cs="Times New Roman"/>
          <w:szCs w:val="24"/>
        </w:rPr>
        <w:t>En este contexto, los marcadores bioquímicos hepáticos adquieren especial importancia como herramientas de tamizaje. Entre ellos, la alanina aminotransferasa (ALT) y la aspartato aminotransferasa (AST) constituyen los biomarcadores de laboratorio más utilizados para evaluar la integridad de los hepatocitos. La elevación persistente o la presencia de valores ubicados en el límite superior de la normalidad puede reflejar daño hepatocelular incipiente y representar uno de los primeros hallazgos bioquímicos compatibles con enfermedad hepática metabólica. Aunque estos marcadores carecen de especificidad suficiente para establecer un diagnóstico definitivo de MAFLD, su determinación resulta útil para identificar individuos que requieren estudios complementarios y seguimiento clínico</w:t>
      </w:r>
      <w:r w:rsidR="006C3579">
        <w:rPr>
          <w:rFonts w:cs="Times New Roman"/>
          <w:szCs w:val="24"/>
        </w:rPr>
        <w:t xml:space="preserve"> </w:t>
      </w:r>
      <w:r w:rsidR="006C3579" w:rsidRPr="006C3579">
        <w:rPr>
          <w:rFonts w:cs="Times New Roman"/>
          <w:szCs w:val="24"/>
        </w:rPr>
        <w:t>(Rinella et al., 2023; Sterling et al., 2025)</w:t>
      </w:r>
      <w:r w:rsidRPr="003E7BC7">
        <w:rPr>
          <w:rFonts w:cs="Times New Roman"/>
          <w:szCs w:val="24"/>
        </w:rPr>
        <w:t>.</w:t>
      </w:r>
    </w:p>
    <w:p w14:paraId="6142EC7A" w14:textId="77777777" w:rsidR="003E7BC7" w:rsidRPr="003E7BC7" w:rsidRDefault="003E7BC7" w:rsidP="003E7BC7">
      <w:pPr>
        <w:jc w:val="both"/>
        <w:rPr>
          <w:rFonts w:cs="Times New Roman"/>
          <w:szCs w:val="24"/>
        </w:rPr>
      </w:pPr>
    </w:p>
    <w:p w14:paraId="5F76FB74" w14:textId="44180601" w:rsidR="003E7BC7" w:rsidRPr="003E7BC7" w:rsidRDefault="003E7BC7" w:rsidP="003E7BC7">
      <w:pPr>
        <w:jc w:val="both"/>
        <w:rPr>
          <w:rFonts w:cs="Times New Roman"/>
          <w:szCs w:val="24"/>
        </w:rPr>
      </w:pPr>
      <w:r w:rsidRPr="003E7BC7">
        <w:rPr>
          <w:rFonts w:cs="Times New Roman"/>
          <w:szCs w:val="24"/>
        </w:rPr>
        <w:t xml:space="preserve">La evidencia científica reciente indica que una proporción considerable de pacientes con lean MAFLD </w:t>
      </w:r>
      <w:r w:rsidR="00824618" w:rsidRPr="00824618">
        <w:rPr>
          <w:rFonts w:cs="Times New Roman"/>
          <w:szCs w:val="24"/>
        </w:rPr>
        <w:t>puede presentar alteraciones leves</w:t>
      </w:r>
      <w:r w:rsidRPr="003E7BC7">
        <w:rPr>
          <w:rFonts w:cs="Times New Roman"/>
          <w:szCs w:val="24"/>
        </w:rPr>
        <w:t xml:space="preserve"> de ALT y AST, sin manifestaciones clínicas evidentes y con parámetros antropométricos aparentemente normales. Esta situación constituye un desafío para la práctica clínica, ya que los programas convencionales de tamizaje suelen centrarse en personas con sobrepeso u obesidad, dejando fuera a individuos con peso normal que podrían encontrarse en fases iniciales de la enfermedad. En consecuencia, la evaluación sistemática de transaminasas en poblaciones jóvenes representa una estrategia potencialmente útil para detectar alteraciones hepáticas subclínicas y promover intervenciones preventivas oportunas</w:t>
      </w:r>
      <w:r w:rsidR="00824618">
        <w:rPr>
          <w:rFonts w:cs="Times New Roman"/>
          <w:szCs w:val="24"/>
        </w:rPr>
        <w:t xml:space="preserve"> </w:t>
      </w:r>
      <w:r w:rsidR="00824618" w:rsidRPr="00824618">
        <w:rPr>
          <w:rFonts w:cs="Times New Roman"/>
          <w:szCs w:val="24"/>
        </w:rPr>
        <w:t>(Ha et al., 2023; Njei et al., 2024)</w:t>
      </w:r>
      <w:r w:rsidRPr="003E7BC7">
        <w:rPr>
          <w:rFonts w:cs="Times New Roman"/>
          <w:szCs w:val="24"/>
        </w:rPr>
        <w:t>.</w:t>
      </w:r>
    </w:p>
    <w:p w14:paraId="729989FF" w14:textId="77777777" w:rsidR="003E7BC7" w:rsidRPr="003E7BC7" w:rsidRDefault="003E7BC7" w:rsidP="003E7BC7">
      <w:pPr>
        <w:jc w:val="both"/>
        <w:rPr>
          <w:rFonts w:cs="Times New Roman"/>
          <w:szCs w:val="24"/>
        </w:rPr>
      </w:pPr>
    </w:p>
    <w:p w14:paraId="074FFB51" w14:textId="0FF67C3D" w:rsidR="003E7BC7" w:rsidRPr="003E7BC7" w:rsidRDefault="003E7BC7" w:rsidP="003E7BC7">
      <w:pPr>
        <w:jc w:val="both"/>
        <w:rPr>
          <w:rFonts w:cs="Times New Roman"/>
          <w:szCs w:val="24"/>
        </w:rPr>
      </w:pPr>
      <w:r w:rsidRPr="003E7BC7">
        <w:rPr>
          <w:rFonts w:cs="Times New Roman"/>
          <w:szCs w:val="24"/>
        </w:rPr>
        <w:t xml:space="preserve">En Ecuador, la información disponible sobre alteraciones bioquímicas compatibles con sospecha de MAFLD en adultos jóvenes con peso normal es limitada, especialmente en población universitaria. La mayor parte de las investigaciones nacionales relacionadas con enfermedad hepática metabólica se han desarrollado en pacientes con obesidad, diabetes mellitus tipo 2 o síndrome metabólico, </w:t>
      </w:r>
      <w:r w:rsidR="00824618" w:rsidRPr="00824618">
        <w:rPr>
          <w:rFonts w:cs="Times New Roman"/>
          <w:szCs w:val="24"/>
        </w:rPr>
        <w:t>persistiendo una limitada evidencia</w:t>
      </w:r>
      <w:r w:rsidRPr="003E7BC7">
        <w:rPr>
          <w:rFonts w:cs="Times New Roman"/>
          <w:szCs w:val="24"/>
        </w:rPr>
        <w:t xml:space="preserve"> acerca del comportamiento de las transaminasas en estudiantes aparentemente sanos. Esta ausencia de información dificulta la comprensión de la magnitud del problema y limita el desarrollo de estrategias de prevención dirigidas a grupos de riesgo que, desde una perspectiva clínica tradicional, no serían considerados prioritarios</w:t>
      </w:r>
      <w:r w:rsidR="00824618">
        <w:rPr>
          <w:rFonts w:cs="Times New Roman"/>
          <w:szCs w:val="24"/>
        </w:rPr>
        <w:t xml:space="preserve"> </w:t>
      </w:r>
      <w:r w:rsidR="00824618" w:rsidRPr="00824618">
        <w:rPr>
          <w:rFonts w:cs="Times New Roman"/>
          <w:szCs w:val="24"/>
        </w:rPr>
        <w:t>(Díaz et al., 2024; Olaez-Ramos et al., 2026).</w:t>
      </w:r>
    </w:p>
    <w:p w14:paraId="226919AF" w14:textId="77777777" w:rsidR="003E7BC7" w:rsidRPr="003E7BC7" w:rsidRDefault="003E7BC7" w:rsidP="003E7BC7">
      <w:pPr>
        <w:jc w:val="both"/>
        <w:rPr>
          <w:rFonts w:cs="Times New Roman"/>
          <w:szCs w:val="24"/>
        </w:rPr>
      </w:pPr>
    </w:p>
    <w:p w14:paraId="350B1E73" w14:textId="00918E62" w:rsidR="003E7BC7" w:rsidRPr="003E7BC7" w:rsidRDefault="00824618" w:rsidP="003E7BC7">
      <w:pPr>
        <w:jc w:val="both"/>
        <w:rPr>
          <w:rFonts w:cs="Times New Roman"/>
          <w:szCs w:val="24"/>
        </w:rPr>
      </w:pPr>
      <w:r w:rsidRPr="00824618">
        <w:rPr>
          <w:rFonts w:cs="Times New Roman"/>
          <w:szCs w:val="24"/>
        </w:rPr>
        <w:t>En este contexto</w:t>
      </w:r>
      <w:r w:rsidR="003E7BC7" w:rsidRPr="003E7BC7">
        <w:rPr>
          <w:rFonts w:cs="Times New Roman"/>
          <w:szCs w:val="24"/>
        </w:rPr>
        <w:t xml:space="preserve">, resulta pertinente investigar la frecuencia de elevación de ALT y AST en estudiantes de Medicina con IMC normal como posibles indicadores bioquímicos de sospecha de MAFLD. La identificación de alteraciones tempranas en esta población permitiría generar evidencia científica local que contribuya al fortalecimiento de programas de promoción de la salud, vigilancia metabólica y prevención </w:t>
      </w:r>
      <w:r w:rsidRPr="00824618">
        <w:rPr>
          <w:rFonts w:cs="Times New Roman"/>
          <w:szCs w:val="24"/>
        </w:rPr>
        <w:t>en población universitaria.</w:t>
      </w:r>
    </w:p>
    <w:p w14:paraId="069BED62" w14:textId="77777777" w:rsidR="003E7BC7" w:rsidRPr="003E7BC7" w:rsidRDefault="003E7BC7" w:rsidP="003E7BC7">
      <w:pPr>
        <w:jc w:val="both"/>
        <w:rPr>
          <w:rFonts w:cs="Times New Roman"/>
          <w:szCs w:val="24"/>
        </w:rPr>
      </w:pPr>
    </w:p>
    <w:p w14:paraId="64AB5A09" w14:textId="37527990" w:rsidR="00BB5C47" w:rsidRPr="00930D69" w:rsidRDefault="003E7BC7" w:rsidP="003E7BC7">
      <w:pPr>
        <w:jc w:val="both"/>
        <w:rPr>
          <w:rFonts w:cs="Times New Roman"/>
          <w:szCs w:val="24"/>
          <w:lang w:val="es-MX"/>
        </w:rPr>
      </w:pPr>
      <w:r w:rsidRPr="003E7BC7">
        <w:rPr>
          <w:rFonts w:cs="Times New Roman"/>
          <w:szCs w:val="24"/>
        </w:rPr>
        <w:t xml:space="preserve">En función de lo expuesto, la presente investigación plantea la siguiente pregunta: ¿Cuál es la prevalencia de elevación de transaminasas como indicador bioquímico de sospecha de enfermedad hepática </w:t>
      </w:r>
      <w:proofErr w:type="spellStart"/>
      <w:r w:rsidRPr="003E7BC7">
        <w:rPr>
          <w:rFonts w:cs="Times New Roman"/>
          <w:szCs w:val="24"/>
        </w:rPr>
        <w:t>esteatósica</w:t>
      </w:r>
      <w:proofErr w:type="spellEnd"/>
      <w:r w:rsidRPr="003E7BC7">
        <w:rPr>
          <w:rFonts w:cs="Times New Roman"/>
          <w:szCs w:val="24"/>
        </w:rPr>
        <w:t xml:space="preserve"> asociada a disfunción metabólica (MAFLD) en estudiantes de Medicina con peso normal? Para responder esta interrogante, el estudio tiene como objetivo determinar la prevalencia de elevación de ALT y AST como indicadores bioquímicos de sospecha de MAFLD en estudiantes de Medicina con índice de masa corporal normal, utilizando registros antropométricos y bioquímicos obtenidos en una población universitaria. Se plantea como hipótesis que existe una proporción de estudiantes con peso normal que presenta alteraciones bioquímicas compatibles con sospecha de MAFLD, </w:t>
      </w:r>
      <w:r w:rsidR="00824618" w:rsidRPr="00824618">
        <w:rPr>
          <w:rFonts w:cs="Times New Roman"/>
          <w:szCs w:val="24"/>
        </w:rPr>
        <w:t>lo que respaldaría la hipótesis de que el riesgo de enfermedad hepática metabólica no depende exclusivamente de la presencia de obesidad</w:t>
      </w:r>
      <w:r w:rsidR="00824618">
        <w:rPr>
          <w:rFonts w:cs="Times New Roman"/>
          <w:szCs w:val="24"/>
        </w:rPr>
        <w:t xml:space="preserve"> </w:t>
      </w:r>
      <w:r w:rsidRPr="003E7BC7">
        <w:rPr>
          <w:rFonts w:cs="Times New Roman"/>
          <w:szCs w:val="24"/>
        </w:rPr>
        <w:t xml:space="preserve">y que la evaluación de transaminasas </w:t>
      </w:r>
      <w:r w:rsidR="00824618" w:rsidRPr="00824618">
        <w:rPr>
          <w:rFonts w:cs="Times New Roman"/>
          <w:szCs w:val="24"/>
        </w:rPr>
        <w:t>puede constituir una herramienta accesible para el tamizaje inicial y la detección temprana de alteraciones hepáticas metabólicas en adultos jóvenes aparentemente sanos.</w:t>
      </w:r>
    </w:p>
    <w:p w14:paraId="324B5FAA" w14:textId="5A2606A9" w:rsidR="00944A71" w:rsidRPr="00930D69" w:rsidRDefault="00F80C0B" w:rsidP="00F37961">
      <w:pPr>
        <w:jc w:val="both"/>
        <w:rPr>
          <w:rFonts w:cs="Times New Roman"/>
          <w:b/>
          <w:sz w:val="28"/>
          <w:szCs w:val="28"/>
        </w:rPr>
      </w:pPr>
      <w:r w:rsidRPr="00930D69">
        <w:rPr>
          <w:rFonts w:cs="Times New Roman"/>
          <w:b/>
          <w:sz w:val="28"/>
          <w:szCs w:val="28"/>
        </w:rPr>
        <w:t>2</w:t>
      </w:r>
      <w:r w:rsidR="00944A71" w:rsidRPr="00930D69">
        <w:rPr>
          <w:rFonts w:cs="Times New Roman"/>
          <w:b/>
          <w:sz w:val="28"/>
          <w:szCs w:val="28"/>
        </w:rPr>
        <w:t>. METODOLOGÍA</w:t>
      </w:r>
    </w:p>
    <w:p w14:paraId="01A4D23E" w14:textId="77777777" w:rsidR="003E7BC7" w:rsidRPr="003E7BC7" w:rsidRDefault="003E7BC7" w:rsidP="003E7BC7">
      <w:pPr>
        <w:pStyle w:val="Textoindependiente"/>
        <w:spacing w:after="120" w:line="288" w:lineRule="auto"/>
        <w:jc w:val="both"/>
        <w:rPr>
          <w:b/>
        </w:rPr>
      </w:pPr>
      <w:r w:rsidRPr="003E7BC7">
        <w:rPr>
          <w:b/>
        </w:rPr>
        <w:lastRenderedPageBreak/>
        <w:t>Diseño del estudio</w:t>
      </w:r>
    </w:p>
    <w:p w14:paraId="5C762214" w14:textId="3237E956" w:rsidR="003E7BC7" w:rsidRPr="003E7BC7" w:rsidRDefault="00DD5A0C" w:rsidP="003E7BC7">
      <w:pPr>
        <w:pStyle w:val="Textoindependiente"/>
        <w:spacing w:after="120" w:line="288" w:lineRule="auto"/>
        <w:jc w:val="both"/>
        <w:rPr>
          <w:bCs/>
        </w:rPr>
      </w:pPr>
      <w:r w:rsidRPr="00DD5A0C">
        <w:rPr>
          <w:bCs/>
        </w:rPr>
        <w:t>Se realizó un estudio con enfoque cuantitativo, observacional, descriptivo, de corte transversal y retrospectivo, basado en el análisis de registros antropométricos y bioquímicos obtenidos de estudiantes de Medicina.</w:t>
      </w:r>
      <w:r w:rsidR="003E7BC7" w:rsidRPr="003E7BC7">
        <w:rPr>
          <w:bCs/>
        </w:rPr>
        <w:t xml:space="preserve"> El diseño permitió estimar la prevalencia de elevación de transaminasas como indicador bioquímico de sospecha de enfermedad hepática </w:t>
      </w:r>
      <w:proofErr w:type="spellStart"/>
      <w:r w:rsidR="003E7BC7" w:rsidRPr="003E7BC7">
        <w:rPr>
          <w:bCs/>
        </w:rPr>
        <w:t>esteatósica</w:t>
      </w:r>
      <w:proofErr w:type="spellEnd"/>
      <w:r w:rsidR="003E7BC7" w:rsidRPr="003E7BC7">
        <w:rPr>
          <w:bCs/>
        </w:rPr>
        <w:t xml:space="preserve"> asociada a disfunción metabólica (MAFLD) en una población con índice de masa corporal (IMC) normal.</w:t>
      </w:r>
    </w:p>
    <w:p w14:paraId="3B063D7C" w14:textId="77777777" w:rsidR="003E7BC7" w:rsidRPr="003E7BC7" w:rsidRDefault="003E7BC7" w:rsidP="003E7BC7">
      <w:pPr>
        <w:pStyle w:val="Textoindependiente"/>
        <w:spacing w:after="120" w:line="288" w:lineRule="auto"/>
        <w:jc w:val="both"/>
        <w:rPr>
          <w:bCs/>
        </w:rPr>
      </w:pPr>
    </w:p>
    <w:p w14:paraId="79718287" w14:textId="77777777" w:rsidR="003E7BC7" w:rsidRPr="003E7BC7" w:rsidRDefault="003E7BC7" w:rsidP="003E7BC7">
      <w:pPr>
        <w:pStyle w:val="Textoindependiente"/>
        <w:spacing w:after="120" w:line="288" w:lineRule="auto"/>
        <w:jc w:val="both"/>
        <w:rPr>
          <w:b/>
        </w:rPr>
      </w:pPr>
      <w:r w:rsidRPr="003E7BC7">
        <w:rPr>
          <w:b/>
        </w:rPr>
        <w:t>Población y muestra</w:t>
      </w:r>
    </w:p>
    <w:p w14:paraId="0A208258" w14:textId="77777777" w:rsidR="003E7BC7" w:rsidRPr="003E7BC7" w:rsidRDefault="003E7BC7" w:rsidP="003E7BC7">
      <w:pPr>
        <w:pStyle w:val="Textoindependiente"/>
        <w:spacing w:after="120" w:line="288" w:lineRule="auto"/>
        <w:jc w:val="both"/>
        <w:rPr>
          <w:bCs/>
        </w:rPr>
      </w:pPr>
      <w:r w:rsidRPr="003E7BC7">
        <w:rPr>
          <w:bCs/>
        </w:rPr>
        <w:t>La población estuvo conformada por 84 estudiantes de la carrera de Medicina pertenecientes a una universidad pública de la ciudad de Guayaquil, Ecuador, quienes participaron en una evaluación antropométrica y bioquímica.</w:t>
      </w:r>
    </w:p>
    <w:p w14:paraId="3D4449C0" w14:textId="0B341BDF" w:rsidR="003E7BC7" w:rsidRPr="003E7BC7" w:rsidRDefault="003E7BC7" w:rsidP="003E7BC7">
      <w:pPr>
        <w:pStyle w:val="Textoindependiente"/>
        <w:spacing w:after="120" w:line="288" w:lineRule="auto"/>
        <w:jc w:val="both"/>
        <w:rPr>
          <w:bCs/>
        </w:rPr>
      </w:pPr>
      <w:r w:rsidRPr="003E7BC7">
        <w:rPr>
          <w:bCs/>
        </w:rPr>
        <w:t xml:space="preserve">Para el presente estudio se realizó un muestreo no probabilístico por criterios de selección, considerando únicamente a los estudiantes con peso normal, definido mediante un IMC entre 18,5 y 24,9 kg/m². </w:t>
      </w:r>
      <w:r w:rsidR="00DD5A0C" w:rsidRPr="00DD5A0C">
        <w:rPr>
          <w:bCs/>
        </w:rPr>
        <w:t>La muestra analítica final quedó conformada por 39 estudiantes</w:t>
      </w:r>
      <w:r w:rsidRPr="003E7BC7">
        <w:rPr>
          <w:bCs/>
        </w:rPr>
        <w:t xml:space="preserve"> que cumplieron los criterios de inclusión y contaban con registros completos de las variables analizadas.</w:t>
      </w:r>
    </w:p>
    <w:p w14:paraId="7FCE1A05" w14:textId="77777777" w:rsidR="003E7BC7" w:rsidRPr="003E7BC7" w:rsidRDefault="003E7BC7" w:rsidP="003E7BC7">
      <w:pPr>
        <w:pStyle w:val="Textoindependiente"/>
        <w:spacing w:after="120" w:line="288" w:lineRule="auto"/>
        <w:jc w:val="both"/>
        <w:rPr>
          <w:bCs/>
        </w:rPr>
      </w:pPr>
    </w:p>
    <w:p w14:paraId="20C938C4" w14:textId="77777777" w:rsidR="003E7BC7" w:rsidRPr="003E7BC7" w:rsidRDefault="003E7BC7" w:rsidP="003E7BC7">
      <w:pPr>
        <w:pStyle w:val="Textoindependiente"/>
        <w:spacing w:after="120" w:line="288" w:lineRule="auto"/>
        <w:jc w:val="both"/>
        <w:rPr>
          <w:b/>
        </w:rPr>
      </w:pPr>
      <w:r w:rsidRPr="003E7BC7">
        <w:rPr>
          <w:b/>
        </w:rPr>
        <w:t>Criterios de inclusión</w:t>
      </w:r>
    </w:p>
    <w:p w14:paraId="4D399DD4" w14:textId="77777777" w:rsidR="003E7BC7" w:rsidRPr="003E7BC7" w:rsidRDefault="003E7BC7" w:rsidP="003E7BC7">
      <w:pPr>
        <w:pStyle w:val="Textoindependiente"/>
        <w:spacing w:after="120" w:line="288" w:lineRule="auto"/>
        <w:jc w:val="both"/>
        <w:rPr>
          <w:bCs/>
        </w:rPr>
      </w:pPr>
      <w:r w:rsidRPr="003E7BC7">
        <w:rPr>
          <w:bCs/>
        </w:rPr>
        <w:t>Se incluyeron estudiantes que cumplieron simultáneamente los siguientes criterios:</w:t>
      </w:r>
    </w:p>
    <w:p w14:paraId="6AAE2F31" w14:textId="77777777" w:rsidR="003E7BC7" w:rsidRPr="003E7BC7" w:rsidRDefault="003E7BC7" w:rsidP="003E7BC7">
      <w:pPr>
        <w:pStyle w:val="Textoindependiente"/>
        <w:numPr>
          <w:ilvl w:val="0"/>
          <w:numId w:val="35"/>
        </w:numPr>
        <w:spacing w:after="120" w:line="288" w:lineRule="auto"/>
        <w:jc w:val="both"/>
        <w:rPr>
          <w:bCs/>
        </w:rPr>
      </w:pPr>
      <w:r w:rsidRPr="003E7BC7">
        <w:rPr>
          <w:bCs/>
        </w:rPr>
        <w:t>Registro completo de edad y sexo.</w:t>
      </w:r>
    </w:p>
    <w:p w14:paraId="37554C95" w14:textId="77777777" w:rsidR="003E7BC7" w:rsidRPr="003E7BC7" w:rsidRDefault="003E7BC7" w:rsidP="003E7BC7">
      <w:pPr>
        <w:pStyle w:val="Textoindependiente"/>
        <w:numPr>
          <w:ilvl w:val="0"/>
          <w:numId w:val="35"/>
        </w:numPr>
        <w:spacing w:after="120" w:line="288" w:lineRule="auto"/>
        <w:jc w:val="both"/>
        <w:rPr>
          <w:bCs/>
        </w:rPr>
      </w:pPr>
      <w:r w:rsidRPr="003E7BC7">
        <w:rPr>
          <w:bCs/>
        </w:rPr>
        <w:t>Disponibilidad de mediciones de peso y talla.</w:t>
      </w:r>
    </w:p>
    <w:p w14:paraId="5E67CB8A" w14:textId="77777777" w:rsidR="003E7BC7" w:rsidRPr="003E7BC7" w:rsidRDefault="003E7BC7" w:rsidP="003E7BC7">
      <w:pPr>
        <w:pStyle w:val="Textoindependiente"/>
        <w:numPr>
          <w:ilvl w:val="0"/>
          <w:numId w:val="35"/>
        </w:numPr>
        <w:spacing w:after="120" w:line="288" w:lineRule="auto"/>
        <w:jc w:val="both"/>
        <w:rPr>
          <w:bCs/>
        </w:rPr>
      </w:pPr>
      <w:r w:rsidRPr="003E7BC7">
        <w:rPr>
          <w:bCs/>
        </w:rPr>
        <w:t>Índice de masa corporal comprendido entre 18,5 y 24,9 kg/m².</w:t>
      </w:r>
    </w:p>
    <w:p w14:paraId="4EF85E0D" w14:textId="77777777" w:rsidR="003E7BC7" w:rsidRDefault="003E7BC7" w:rsidP="003E7BC7">
      <w:pPr>
        <w:pStyle w:val="Textoindependiente"/>
        <w:numPr>
          <w:ilvl w:val="0"/>
          <w:numId w:val="35"/>
        </w:numPr>
        <w:spacing w:after="120" w:line="288" w:lineRule="auto"/>
        <w:jc w:val="both"/>
        <w:rPr>
          <w:bCs/>
        </w:rPr>
      </w:pPr>
      <w:r w:rsidRPr="003E7BC7">
        <w:rPr>
          <w:bCs/>
        </w:rPr>
        <w:t>Disponibilidad de resultados bioquímicos de alanina aminotransferasa (ALT) y aspartato aminotransferasa (AST).</w:t>
      </w:r>
    </w:p>
    <w:p w14:paraId="3D6BB7BA" w14:textId="6D9C5B4B" w:rsidR="00DD5A0C" w:rsidRPr="003E7BC7" w:rsidRDefault="00DD5A0C" w:rsidP="003E7BC7">
      <w:pPr>
        <w:pStyle w:val="Textoindependiente"/>
        <w:numPr>
          <w:ilvl w:val="0"/>
          <w:numId w:val="35"/>
        </w:numPr>
        <w:spacing w:after="120" w:line="288" w:lineRule="auto"/>
        <w:jc w:val="both"/>
        <w:rPr>
          <w:bCs/>
        </w:rPr>
      </w:pPr>
      <w:r w:rsidRPr="00DD5A0C">
        <w:rPr>
          <w:bCs/>
        </w:rPr>
        <w:t>Registros con valores bioquímicos incompatibles o inconsistentes según los controles de calidad de la base de datos.</w:t>
      </w:r>
    </w:p>
    <w:p w14:paraId="66274E21" w14:textId="77777777" w:rsidR="003E7BC7" w:rsidRDefault="003E7BC7" w:rsidP="003E7BC7">
      <w:pPr>
        <w:pStyle w:val="Textoindependiente"/>
        <w:spacing w:after="120" w:line="288" w:lineRule="auto"/>
        <w:jc w:val="both"/>
        <w:rPr>
          <w:bCs/>
        </w:rPr>
      </w:pPr>
    </w:p>
    <w:p w14:paraId="293CE84C" w14:textId="477B743E" w:rsidR="003E7BC7" w:rsidRPr="003E7BC7" w:rsidRDefault="003E7BC7" w:rsidP="003E7BC7">
      <w:pPr>
        <w:pStyle w:val="Textoindependiente"/>
        <w:spacing w:after="120" w:line="288" w:lineRule="auto"/>
        <w:jc w:val="both"/>
        <w:rPr>
          <w:b/>
        </w:rPr>
      </w:pPr>
      <w:r w:rsidRPr="003E7BC7">
        <w:rPr>
          <w:b/>
        </w:rPr>
        <w:t>Criterios de exclusión</w:t>
      </w:r>
    </w:p>
    <w:p w14:paraId="7B84A4EA" w14:textId="77777777" w:rsidR="003E7BC7" w:rsidRPr="003E7BC7" w:rsidRDefault="003E7BC7" w:rsidP="003E7BC7">
      <w:pPr>
        <w:pStyle w:val="Textoindependiente"/>
        <w:spacing w:after="120" w:line="288" w:lineRule="auto"/>
        <w:jc w:val="both"/>
        <w:rPr>
          <w:bCs/>
        </w:rPr>
      </w:pPr>
      <w:r w:rsidRPr="003E7BC7">
        <w:rPr>
          <w:bCs/>
        </w:rPr>
        <w:t>Se excluyeron del análisis:</w:t>
      </w:r>
    </w:p>
    <w:p w14:paraId="5E9B04C8" w14:textId="77777777" w:rsidR="003E7BC7" w:rsidRPr="003E7BC7" w:rsidRDefault="003E7BC7" w:rsidP="003E7BC7">
      <w:pPr>
        <w:pStyle w:val="Textoindependiente"/>
        <w:numPr>
          <w:ilvl w:val="0"/>
          <w:numId w:val="36"/>
        </w:numPr>
        <w:spacing w:after="120" w:line="288" w:lineRule="auto"/>
        <w:jc w:val="both"/>
        <w:rPr>
          <w:bCs/>
        </w:rPr>
      </w:pPr>
      <w:r w:rsidRPr="003E7BC7">
        <w:rPr>
          <w:bCs/>
        </w:rPr>
        <w:t>Estudiantes con bajo peso, sobrepeso u obesidad.</w:t>
      </w:r>
    </w:p>
    <w:p w14:paraId="7C135601" w14:textId="77777777" w:rsidR="003E7BC7" w:rsidRPr="003E7BC7" w:rsidRDefault="003E7BC7" w:rsidP="003E7BC7">
      <w:pPr>
        <w:pStyle w:val="Textoindependiente"/>
        <w:numPr>
          <w:ilvl w:val="0"/>
          <w:numId w:val="36"/>
        </w:numPr>
        <w:spacing w:after="120" w:line="288" w:lineRule="auto"/>
        <w:jc w:val="both"/>
        <w:rPr>
          <w:bCs/>
        </w:rPr>
      </w:pPr>
      <w:r w:rsidRPr="003E7BC7">
        <w:rPr>
          <w:bCs/>
        </w:rPr>
        <w:lastRenderedPageBreak/>
        <w:t>Registros con información incompleta.</w:t>
      </w:r>
    </w:p>
    <w:p w14:paraId="0CD74D0B" w14:textId="77777777" w:rsidR="003E7BC7" w:rsidRPr="003E7BC7" w:rsidRDefault="003E7BC7" w:rsidP="003E7BC7">
      <w:pPr>
        <w:pStyle w:val="Textoindependiente"/>
        <w:numPr>
          <w:ilvl w:val="0"/>
          <w:numId w:val="36"/>
        </w:numPr>
        <w:spacing w:after="120" w:line="288" w:lineRule="auto"/>
        <w:jc w:val="both"/>
        <w:rPr>
          <w:bCs/>
        </w:rPr>
      </w:pPr>
      <w:r w:rsidRPr="003E7BC7">
        <w:rPr>
          <w:bCs/>
        </w:rPr>
        <w:t>Participantes sin resultados bioquímicos de ALT o AST.</w:t>
      </w:r>
    </w:p>
    <w:p w14:paraId="404E9797" w14:textId="77777777" w:rsidR="003E7BC7" w:rsidRDefault="003E7BC7" w:rsidP="003E7BC7">
      <w:pPr>
        <w:pStyle w:val="Textoindependiente"/>
        <w:spacing w:after="120" w:line="288" w:lineRule="auto"/>
        <w:jc w:val="both"/>
        <w:rPr>
          <w:bCs/>
        </w:rPr>
      </w:pPr>
    </w:p>
    <w:p w14:paraId="3AB34908" w14:textId="2B0A2C34" w:rsidR="003E7BC7" w:rsidRPr="003E7BC7" w:rsidRDefault="003E7BC7" w:rsidP="003E7BC7">
      <w:pPr>
        <w:pStyle w:val="Textoindependiente"/>
        <w:spacing w:after="120" w:line="288" w:lineRule="auto"/>
        <w:jc w:val="both"/>
        <w:rPr>
          <w:bCs/>
        </w:rPr>
      </w:pPr>
      <w:r w:rsidRPr="003E7BC7">
        <w:rPr>
          <w:bCs/>
        </w:rPr>
        <w:t>Variables de estudio</w:t>
      </w:r>
    </w:p>
    <w:p w14:paraId="6F2284A7" w14:textId="24BD03D5" w:rsidR="003E7BC7" w:rsidRPr="003E7BC7" w:rsidRDefault="00DD5A0C" w:rsidP="003E7BC7">
      <w:pPr>
        <w:pStyle w:val="Textoindependiente"/>
        <w:spacing w:after="120" w:line="288" w:lineRule="auto"/>
        <w:jc w:val="both"/>
        <w:rPr>
          <w:bCs/>
        </w:rPr>
      </w:pPr>
      <w:r w:rsidRPr="00DD5A0C">
        <w:rPr>
          <w:bCs/>
        </w:rPr>
        <w:t>La variable principal de estudio fue la elevación de transaminasas séricas (ALT y AST) como indicador bioquímico de sospecha de MAFLD.</w:t>
      </w:r>
    </w:p>
    <w:p w14:paraId="535F5223" w14:textId="77777777" w:rsidR="003E7BC7" w:rsidRPr="003E7BC7" w:rsidRDefault="003E7BC7" w:rsidP="003E7BC7">
      <w:pPr>
        <w:pStyle w:val="Textoindependiente"/>
        <w:spacing w:after="120" w:line="288" w:lineRule="auto"/>
        <w:jc w:val="both"/>
        <w:rPr>
          <w:bCs/>
        </w:rPr>
      </w:pPr>
      <w:r w:rsidRPr="003E7BC7">
        <w:rPr>
          <w:bCs/>
        </w:rPr>
        <w:t>Las variables analizadas fueron:</w:t>
      </w:r>
    </w:p>
    <w:p w14:paraId="278BA662" w14:textId="77777777" w:rsidR="003E7BC7" w:rsidRPr="003E7BC7" w:rsidRDefault="003E7BC7" w:rsidP="009B72DF">
      <w:pPr>
        <w:pStyle w:val="Textoindependiente"/>
        <w:numPr>
          <w:ilvl w:val="0"/>
          <w:numId w:val="37"/>
        </w:numPr>
        <w:spacing w:after="120" w:line="288" w:lineRule="auto"/>
        <w:jc w:val="both"/>
        <w:rPr>
          <w:bCs/>
        </w:rPr>
      </w:pPr>
      <w:r w:rsidRPr="003E7BC7">
        <w:rPr>
          <w:bCs/>
        </w:rPr>
        <w:t>Edad (años).</w:t>
      </w:r>
    </w:p>
    <w:p w14:paraId="337ACC6D" w14:textId="77777777" w:rsidR="003E7BC7" w:rsidRPr="003E7BC7" w:rsidRDefault="003E7BC7" w:rsidP="009B72DF">
      <w:pPr>
        <w:pStyle w:val="Textoindependiente"/>
        <w:numPr>
          <w:ilvl w:val="0"/>
          <w:numId w:val="37"/>
        </w:numPr>
        <w:spacing w:after="120" w:line="288" w:lineRule="auto"/>
        <w:jc w:val="both"/>
        <w:rPr>
          <w:bCs/>
        </w:rPr>
      </w:pPr>
      <w:r w:rsidRPr="003E7BC7">
        <w:rPr>
          <w:bCs/>
        </w:rPr>
        <w:t>Sexo (masculino/femenino).</w:t>
      </w:r>
    </w:p>
    <w:p w14:paraId="09014EBD" w14:textId="77777777" w:rsidR="003E7BC7" w:rsidRPr="003E7BC7" w:rsidRDefault="003E7BC7" w:rsidP="009B72DF">
      <w:pPr>
        <w:pStyle w:val="Textoindependiente"/>
        <w:numPr>
          <w:ilvl w:val="0"/>
          <w:numId w:val="37"/>
        </w:numPr>
        <w:spacing w:after="120" w:line="288" w:lineRule="auto"/>
        <w:jc w:val="both"/>
        <w:rPr>
          <w:bCs/>
        </w:rPr>
      </w:pPr>
      <w:r w:rsidRPr="003E7BC7">
        <w:rPr>
          <w:bCs/>
        </w:rPr>
        <w:t>Peso (kg).</w:t>
      </w:r>
    </w:p>
    <w:p w14:paraId="123653AC" w14:textId="77777777" w:rsidR="003E7BC7" w:rsidRPr="003E7BC7" w:rsidRDefault="003E7BC7" w:rsidP="009B72DF">
      <w:pPr>
        <w:pStyle w:val="Textoindependiente"/>
        <w:numPr>
          <w:ilvl w:val="0"/>
          <w:numId w:val="37"/>
        </w:numPr>
        <w:spacing w:after="120" w:line="288" w:lineRule="auto"/>
        <w:jc w:val="both"/>
        <w:rPr>
          <w:bCs/>
        </w:rPr>
      </w:pPr>
      <w:r w:rsidRPr="003E7BC7">
        <w:rPr>
          <w:bCs/>
        </w:rPr>
        <w:t>Talla (m).</w:t>
      </w:r>
    </w:p>
    <w:p w14:paraId="4934AB00" w14:textId="77777777" w:rsidR="003E7BC7" w:rsidRPr="003E7BC7" w:rsidRDefault="003E7BC7" w:rsidP="009B72DF">
      <w:pPr>
        <w:pStyle w:val="Textoindependiente"/>
        <w:numPr>
          <w:ilvl w:val="0"/>
          <w:numId w:val="37"/>
        </w:numPr>
        <w:spacing w:after="120" w:line="288" w:lineRule="auto"/>
        <w:jc w:val="both"/>
        <w:rPr>
          <w:bCs/>
        </w:rPr>
      </w:pPr>
      <w:r w:rsidRPr="003E7BC7">
        <w:rPr>
          <w:bCs/>
        </w:rPr>
        <w:t>Índice de masa corporal (kg/m²).</w:t>
      </w:r>
    </w:p>
    <w:p w14:paraId="0490FDB7" w14:textId="77777777" w:rsidR="003E7BC7" w:rsidRPr="003E7BC7" w:rsidRDefault="003E7BC7" w:rsidP="009B72DF">
      <w:pPr>
        <w:pStyle w:val="Textoindependiente"/>
        <w:numPr>
          <w:ilvl w:val="0"/>
          <w:numId w:val="37"/>
        </w:numPr>
        <w:spacing w:after="120" w:line="288" w:lineRule="auto"/>
        <w:jc w:val="both"/>
        <w:rPr>
          <w:bCs/>
        </w:rPr>
      </w:pPr>
      <w:r w:rsidRPr="003E7BC7">
        <w:rPr>
          <w:bCs/>
        </w:rPr>
        <w:t>Alanina aminotransferasa (ALT, U/L).</w:t>
      </w:r>
    </w:p>
    <w:p w14:paraId="4961F95F" w14:textId="77777777" w:rsidR="003E7BC7" w:rsidRPr="003E7BC7" w:rsidRDefault="003E7BC7" w:rsidP="009B72DF">
      <w:pPr>
        <w:pStyle w:val="Textoindependiente"/>
        <w:numPr>
          <w:ilvl w:val="0"/>
          <w:numId w:val="37"/>
        </w:numPr>
        <w:spacing w:after="120" w:line="288" w:lineRule="auto"/>
        <w:jc w:val="both"/>
        <w:rPr>
          <w:bCs/>
        </w:rPr>
      </w:pPr>
      <w:r w:rsidRPr="003E7BC7">
        <w:rPr>
          <w:bCs/>
        </w:rPr>
        <w:t>Aspartato aminotransferasa (AST, U/L).</w:t>
      </w:r>
    </w:p>
    <w:p w14:paraId="32FF6CFB" w14:textId="77777777" w:rsidR="003E7BC7" w:rsidRPr="003E7BC7" w:rsidRDefault="003E7BC7" w:rsidP="003E7BC7">
      <w:pPr>
        <w:pStyle w:val="Textoindependiente"/>
        <w:spacing w:after="120" w:line="288" w:lineRule="auto"/>
        <w:jc w:val="both"/>
        <w:rPr>
          <w:bCs/>
        </w:rPr>
      </w:pPr>
      <w:r w:rsidRPr="003E7BC7">
        <w:rPr>
          <w:bCs/>
        </w:rPr>
        <w:t>Como variables complementarias se registraron:</w:t>
      </w:r>
    </w:p>
    <w:p w14:paraId="296934F8" w14:textId="77777777" w:rsidR="003E7BC7" w:rsidRPr="003E7BC7" w:rsidRDefault="003E7BC7" w:rsidP="009B72DF">
      <w:pPr>
        <w:pStyle w:val="Textoindependiente"/>
        <w:numPr>
          <w:ilvl w:val="0"/>
          <w:numId w:val="38"/>
        </w:numPr>
        <w:spacing w:after="120" w:line="288" w:lineRule="auto"/>
        <w:jc w:val="both"/>
        <w:rPr>
          <w:bCs/>
        </w:rPr>
      </w:pPr>
      <w:r w:rsidRPr="003E7BC7">
        <w:rPr>
          <w:bCs/>
        </w:rPr>
        <w:t>Ácido úrico.</w:t>
      </w:r>
    </w:p>
    <w:p w14:paraId="4421CF48" w14:textId="77777777" w:rsidR="003E7BC7" w:rsidRPr="003E7BC7" w:rsidRDefault="003E7BC7" w:rsidP="009B72DF">
      <w:pPr>
        <w:pStyle w:val="Textoindependiente"/>
        <w:numPr>
          <w:ilvl w:val="0"/>
          <w:numId w:val="38"/>
        </w:numPr>
        <w:spacing w:after="120" w:line="288" w:lineRule="auto"/>
        <w:jc w:val="both"/>
        <w:rPr>
          <w:bCs/>
        </w:rPr>
      </w:pPr>
      <w:r w:rsidRPr="003E7BC7">
        <w:rPr>
          <w:bCs/>
        </w:rPr>
        <w:t>Urea.</w:t>
      </w:r>
    </w:p>
    <w:p w14:paraId="6019D80B" w14:textId="77777777" w:rsidR="003E7BC7" w:rsidRPr="003E7BC7" w:rsidRDefault="003E7BC7" w:rsidP="009B72DF">
      <w:pPr>
        <w:pStyle w:val="Textoindependiente"/>
        <w:numPr>
          <w:ilvl w:val="0"/>
          <w:numId w:val="38"/>
        </w:numPr>
        <w:spacing w:after="120" w:line="288" w:lineRule="auto"/>
        <w:jc w:val="both"/>
        <w:rPr>
          <w:bCs/>
        </w:rPr>
      </w:pPr>
      <w:r w:rsidRPr="003E7BC7">
        <w:rPr>
          <w:bCs/>
        </w:rPr>
        <w:t>Creatinina.</w:t>
      </w:r>
    </w:p>
    <w:p w14:paraId="5A82047F" w14:textId="77777777" w:rsidR="003E7BC7" w:rsidRPr="003E7BC7" w:rsidRDefault="003E7BC7" w:rsidP="009B72DF">
      <w:pPr>
        <w:pStyle w:val="Textoindependiente"/>
        <w:numPr>
          <w:ilvl w:val="0"/>
          <w:numId w:val="38"/>
        </w:numPr>
        <w:spacing w:after="120" w:line="288" w:lineRule="auto"/>
        <w:jc w:val="both"/>
        <w:rPr>
          <w:bCs/>
        </w:rPr>
      </w:pPr>
      <w:r w:rsidRPr="003E7BC7">
        <w:rPr>
          <w:bCs/>
        </w:rPr>
        <w:t>Albúmina.</w:t>
      </w:r>
    </w:p>
    <w:p w14:paraId="48F3688F" w14:textId="77777777" w:rsidR="003E7BC7" w:rsidRPr="003E7BC7" w:rsidRDefault="003E7BC7" w:rsidP="009B72DF">
      <w:pPr>
        <w:pStyle w:val="Textoindependiente"/>
        <w:numPr>
          <w:ilvl w:val="0"/>
          <w:numId w:val="38"/>
        </w:numPr>
        <w:spacing w:after="120" w:line="288" w:lineRule="auto"/>
        <w:jc w:val="both"/>
        <w:rPr>
          <w:bCs/>
        </w:rPr>
      </w:pPr>
      <w:r w:rsidRPr="003E7BC7">
        <w:rPr>
          <w:bCs/>
        </w:rPr>
        <w:t>Proteínas totales.</w:t>
      </w:r>
    </w:p>
    <w:p w14:paraId="1F19350D" w14:textId="77777777" w:rsidR="003E7BC7" w:rsidRPr="003E7BC7" w:rsidRDefault="003E7BC7" w:rsidP="003E7BC7">
      <w:pPr>
        <w:pStyle w:val="Textoindependiente"/>
        <w:spacing w:after="120" w:line="288" w:lineRule="auto"/>
        <w:jc w:val="both"/>
        <w:rPr>
          <w:bCs/>
        </w:rPr>
      </w:pPr>
      <w:r w:rsidRPr="003E7BC7">
        <w:rPr>
          <w:bCs/>
        </w:rPr>
        <w:t>Aunque estas últimas variables formaron parte de la base de datos original, únicamente ALT y AST fueron utilizadas como marcadores bioquímicos de sospecha de MAFLD, de acuerdo con el objetivo del estudio.</w:t>
      </w:r>
    </w:p>
    <w:p w14:paraId="2514EBC5" w14:textId="77777777" w:rsidR="003E7BC7" w:rsidRPr="003E7BC7" w:rsidRDefault="003E7BC7" w:rsidP="003E7BC7">
      <w:pPr>
        <w:pStyle w:val="Textoindependiente"/>
        <w:spacing w:after="120" w:line="288" w:lineRule="auto"/>
        <w:jc w:val="both"/>
        <w:rPr>
          <w:bCs/>
        </w:rPr>
      </w:pPr>
    </w:p>
    <w:p w14:paraId="2EA5B950" w14:textId="77777777" w:rsidR="003E7BC7" w:rsidRPr="009B72DF" w:rsidRDefault="003E7BC7" w:rsidP="003E7BC7">
      <w:pPr>
        <w:pStyle w:val="Textoindependiente"/>
        <w:spacing w:after="120" w:line="288" w:lineRule="auto"/>
        <w:jc w:val="both"/>
        <w:rPr>
          <w:b/>
        </w:rPr>
      </w:pPr>
      <w:r w:rsidRPr="009B72DF">
        <w:rPr>
          <w:b/>
        </w:rPr>
        <w:t>Procedimiento</w:t>
      </w:r>
    </w:p>
    <w:p w14:paraId="206DB3F8" w14:textId="77777777" w:rsidR="003E7BC7" w:rsidRPr="003E7BC7" w:rsidRDefault="003E7BC7" w:rsidP="003E7BC7">
      <w:pPr>
        <w:pStyle w:val="Textoindependiente"/>
        <w:spacing w:after="120" w:line="288" w:lineRule="auto"/>
        <w:jc w:val="both"/>
        <w:rPr>
          <w:bCs/>
        </w:rPr>
      </w:pPr>
      <w:r w:rsidRPr="003E7BC7">
        <w:rPr>
          <w:bCs/>
        </w:rPr>
        <w:t>La información fue obtenida a partir de una base de datos institucional previamente consolidada que contenía mediciones antropométricas y resultados de laboratorio. Posteriormente, los registros fueron depurados para seleccionar exclusivamente a los estudiantes clasificados con peso normal según el IMC.</w:t>
      </w:r>
    </w:p>
    <w:p w14:paraId="63876483" w14:textId="0934F0E3" w:rsidR="003E7BC7" w:rsidRPr="003E7BC7" w:rsidRDefault="00DD5A0C" w:rsidP="003E7BC7">
      <w:pPr>
        <w:pStyle w:val="Textoindependiente"/>
        <w:spacing w:after="120" w:line="288" w:lineRule="auto"/>
        <w:jc w:val="both"/>
        <w:rPr>
          <w:bCs/>
        </w:rPr>
      </w:pPr>
      <w:r w:rsidRPr="00DD5A0C">
        <w:rPr>
          <w:bCs/>
        </w:rPr>
        <w:lastRenderedPageBreak/>
        <w:t>Posteriormente, la base de datos fue revisada para verificar la integridad y consistencia de los registros. Luego se efectuó el análisis descriptivo de las variables continuas y categóricas.</w:t>
      </w:r>
      <w:r w:rsidR="003E7BC7" w:rsidRPr="003E7BC7">
        <w:rPr>
          <w:bCs/>
        </w:rPr>
        <w:t xml:space="preserve"> Se calcularon medidas de tendencia central y dispersión para las variables cuantitativas, mientras que las variables cualitativas fueron expresadas mediante frecuencias absolutas y porcentajes.</w:t>
      </w:r>
    </w:p>
    <w:p w14:paraId="7F3C15E5" w14:textId="77777777" w:rsidR="003E7BC7" w:rsidRPr="003E7BC7" w:rsidRDefault="003E7BC7" w:rsidP="003E7BC7">
      <w:pPr>
        <w:pStyle w:val="Textoindependiente"/>
        <w:spacing w:after="120" w:line="288" w:lineRule="auto"/>
        <w:jc w:val="both"/>
        <w:rPr>
          <w:bCs/>
        </w:rPr>
      </w:pPr>
      <w:r w:rsidRPr="003E7BC7">
        <w:rPr>
          <w:bCs/>
        </w:rPr>
        <w:t xml:space="preserve">La elevación de transaminasas fue considerada como un indicador bioquímico de sospecha de MAFLD y su interpretación se realizó considerando los valores de referencia establecidos por el laboratorio clínico correspondiente. Debido a que el estudio no incluyó pruebas de imagen ni biopsia hepática, los hallazgos fueron interpretados como indicadores bioquímicos compatibles con sospecha de enfermedad hepática </w:t>
      </w:r>
      <w:proofErr w:type="spellStart"/>
      <w:r w:rsidRPr="003E7BC7">
        <w:rPr>
          <w:bCs/>
        </w:rPr>
        <w:t>esteatósica</w:t>
      </w:r>
      <w:proofErr w:type="spellEnd"/>
      <w:r w:rsidRPr="003E7BC7">
        <w:rPr>
          <w:bCs/>
        </w:rPr>
        <w:t xml:space="preserve"> y no como diagnóstico definitivo.</w:t>
      </w:r>
    </w:p>
    <w:p w14:paraId="3F20F52B" w14:textId="77777777" w:rsidR="003E7BC7" w:rsidRPr="003E7BC7" w:rsidRDefault="003E7BC7" w:rsidP="003E7BC7">
      <w:pPr>
        <w:pStyle w:val="Textoindependiente"/>
        <w:spacing w:after="120" w:line="288" w:lineRule="auto"/>
        <w:jc w:val="both"/>
        <w:rPr>
          <w:bCs/>
        </w:rPr>
      </w:pPr>
    </w:p>
    <w:p w14:paraId="6E6A3993" w14:textId="77777777" w:rsidR="003E7BC7" w:rsidRPr="009B72DF" w:rsidRDefault="003E7BC7" w:rsidP="003E7BC7">
      <w:pPr>
        <w:pStyle w:val="Textoindependiente"/>
        <w:spacing w:after="120" w:line="288" w:lineRule="auto"/>
        <w:jc w:val="both"/>
        <w:rPr>
          <w:b/>
        </w:rPr>
      </w:pPr>
      <w:r w:rsidRPr="009B72DF">
        <w:rPr>
          <w:b/>
        </w:rPr>
        <w:t>Análisis estadístico</w:t>
      </w:r>
    </w:p>
    <w:p w14:paraId="4E777739" w14:textId="77777777" w:rsidR="003E7BC7" w:rsidRPr="003E7BC7" w:rsidRDefault="003E7BC7" w:rsidP="003E7BC7">
      <w:pPr>
        <w:pStyle w:val="Textoindependiente"/>
        <w:spacing w:after="120" w:line="288" w:lineRule="auto"/>
        <w:jc w:val="both"/>
        <w:rPr>
          <w:bCs/>
        </w:rPr>
      </w:pPr>
      <w:r w:rsidRPr="003E7BC7">
        <w:rPr>
          <w:bCs/>
        </w:rPr>
        <w:t>Se realizó un análisis estadístico descriptivo. Las variables cuantitativas fueron resumidas mediante media, desviación estándar, mediana, valores mínimos y máximos, según su distribución. Las variables cualitativas se expresaron mediante frecuencias absolutas y porcentajes.</w:t>
      </w:r>
    </w:p>
    <w:p w14:paraId="39DBE7B3" w14:textId="77777777" w:rsidR="003E7BC7" w:rsidRPr="003E7BC7" w:rsidRDefault="003E7BC7" w:rsidP="003E7BC7">
      <w:pPr>
        <w:pStyle w:val="Textoindependiente"/>
        <w:spacing w:after="120" w:line="288" w:lineRule="auto"/>
        <w:jc w:val="both"/>
        <w:rPr>
          <w:bCs/>
        </w:rPr>
      </w:pPr>
      <w:r w:rsidRPr="003E7BC7">
        <w:rPr>
          <w:bCs/>
        </w:rPr>
        <w:t>La prevalencia de elevación de ALT, AST y de alteraciones bioquímicas compatibles con sospecha de MAFLD fue calculada con sus respectivos porcentajes.</w:t>
      </w:r>
    </w:p>
    <w:p w14:paraId="7BC337C9" w14:textId="4E036D76" w:rsidR="003E7BC7" w:rsidRPr="003E7BC7" w:rsidRDefault="003E7BC7" w:rsidP="003E7BC7">
      <w:pPr>
        <w:pStyle w:val="Textoindependiente"/>
        <w:spacing w:after="120" w:line="288" w:lineRule="auto"/>
        <w:jc w:val="both"/>
        <w:rPr>
          <w:bCs/>
        </w:rPr>
      </w:pPr>
      <w:r w:rsidRPr="003E7BC7">
        <w:rPr>
          <w:bCs/>
        </w:rPr>
        <w:t>El procesamiento y análisis de la información se efectuó utilizando un software estadístico especializado.</w:t>
      </w:r>
      <w:r w:rsidR="00DD5A0C">
        <w:rPr>
          <w:bCs/>
        </w:rPr>
        <w:t xml:space="preserve"> </w:t>
      </w:r>
      <w:r w:rsidR="00DD5A0C" w:rsidRPr="00DD5A0C">
        <w:rPr>
          <w:bCs/>
          <w:lang w:val="es-EC"/>
        </w:rPr>
        <w:t>Debido al carácter descriptivo del estudio, no se realizaron pruebas de hipótesis ni análisis inferenciales.</w:t>
      </w:r>
    </w:p>
    <w:p w14:paraId="7E26557F" w14:textId="77777777" w:rsidR="009B72DF" w:rsidRDefault="009B72DF" w:rsidP="003E7BC7">
      <w:pPr>
        <w:pStyle w:val="Textoindependiente"/>
        <w:spacing w:after="120" w:line="288" w:lineRule="auto"/>
        <w:jc w:val="both"/>
        <w:rPr>
          <w:bCs/>
        </w:rPr>
      </w:pPr>
    </w:p>
    <w:p w14:paraId="318BF8E0" w14:textId="7EC8F32F" w:rsidR="003E7BC7" w:rsidRPr="009B72DF" w:rsidRDefault="003E7BC7" w:rsidP="003E7BC7">
      <w:pPr>
        <w:pStyle w:val="Textoindependiente"/>
        <w:spacing w:after="120" w:line="288" w:lineRule="auto"/>
        <w:jc w:val="both"/>
        <w:rPr>
          <w:b/>
        </w:rPr>
      </w:pPr>
      <w:r w:rsidRPr="009B72DF">
        <w:rPr>
          <w:b/>
        </w:rPr>
        <w:t>Consideraciones éticas</w:t>
      </w:r>
    </w:p>
    <w:p w14:paraId="450AD61F" w14:textId="3870FDE7" w:rsidR="00313C3A" w:rsidRDefault="003E7BC7" w:rsidP="003E7BC7">
      <w:pPr>
        <w:pStyle w:val="Textoindependiente"/>
        <w:spacing w:after="120" w:line="288" w:lineRule="auto"/>
        <w:jc w:val="both"/>
        <w:rPr>
          <w:bCs/>
          <w:lang w:val="es-EC"/>
        </w:rPr>
      </w:pPr>
      <w:r w:rsidRPr="003E7BC7">
        <w:rPr>
          <w:bCs/>
        </w:rPr>
        <w:t>El estudio utilizó información secundaria previamente registrada y anonimizada, garantizando la confidencialidad de los participantes y el tratamiento ético de los datos. No se incluyó información que permitiera la identificación de los estudiantes. La investigación respetó los principios éticos establecidos en la Declaración de Helsinki para investigaciones en seres humanos y se desarrolló conforme a los principios de confidencialidad, beneficencia y protección de datos personales.</w:t>
      </w:r>
      <w:r w:rsidR="00DD5A0C">
        <w:rPr>
          <w:bCs/>
        </w:rPr>
        <w:t xml:space="preserve"> </w:t>
      </w:r>
      <w:r w:rsidR="00DD5A0C" w:rsidRPr="00DD5A0C">
        <w:rPr>
          <w:bCs/>
          <w:lang w:val="es-EC"/>
        </w:rPr>
        <w:t>El estudio cumplió con la normativa nacional e institucional aplicable para investigaciones con datos secundarios anonimizados.</w:t>
      </w:r>
    </w:p>
    <w:p w14:paraId="5CCB9850" w14:textId="4C43B29F" w:rsidR="003D4D92" w:rsidRPr="00930D69" w:rsidRDefault="00F80C0B" w:rsidP="00F37961">
      <w:pPr>
        <w:jc w:val="both"/>
        <w:rPr>
          <w:rFonts w:cs="Times New Roman"/>
          <w:b/>
          <w:sz w:val="28"/>
          <w:szCs w:val="28"/>
        </w:rPr>
      </w:pPr>
      <w:r w:rsidRPr="00930D69">
        <w:rPr>
          <w:rFonts w:cs="Times New Roman"/>
          <w:b/>
          <w:sz w:val="28"/>
          <w:szCs w:val="28"/>
        </w:rPr>
        <w:t>3</w:t>
      </w:r>
      <w:r w:rsidR="003D4D92" w:rsidRPr="00930D69">
        <w:rPr>
          <w:rFonts w:cs="Times New Roman"/>
          <w:b/>
          <w:sz w:val="28"/>
          <w:szCs w:val="28"/>
        </w:rPr>
        <w:t>. RESULTADOS</w:t>
      </w:r>
    </w:p>
    <w:p w14:paraId="6B22FB1F" w14:textId="2A6004AC" w:rsidR="00C54BB2" w:rsidRPr="00C54BB2" w:rsidRDefault="00DD5A0C" w:rsidP="00C54BB2">
      <w:pPr>
        <w:jc w:val="both"/>
        <w:rPr>
          <w:rFonts w:cs="Times New Roman"/>
          <w:szCs w:val="24"/>
          <w:lang w:val="es-MX"/>
        </w:rPr>
      </w:pPr>
      <w:r w:rsidRPr="00DD5A0C">
        <w:rPr>
          <w:rFonts w:cs="Times New Roman"/>
          <w:szCs w:val="24"/>
          <w:lang w:val="es-MX"/>
        </w:rPr>
        <w:t xml:space="preserve">La población inicial estuvo conformada por 84 estudiantes de Medicina. Tras aplicar los criterios de inclusión y exclusión establecidos, se seleccionaron 39 estudiantes con </w:t>
      </w:r>
      <w:r w:rsidRPr="00DD5A0C">
        <w:rPr>
          <w:rFonts w:cs="Times New Roman"/>
          <w:szCs w:val="24"/>
          <w:lang w:val="es-MX"/>
        </w:rPr>
        <w:lastRenderedPageBreak/>
        <w:t>índice de masa corporal (IMC) entre 18,5 y 24,9 kg/m². De ellos, 38 contaban con registros bioquímicos completos de ALT y AST y fueron incluidos en el análisis final.</w:t>
      </w:r>
    </w:p>
    <w:p w14:paraId="40BB453B" w14:textId="5E9DAA4B" w:rsidR="00C54BB2" w:rsidRPr="00C54BB2" w:rsidRDefault="00C54BB2" w:rsidP="00C54BB2">
      <w:pPr>
        <w:jc w:val="both"/>
        <w:rPr>
          <w:rFonts w:cs="Times New Roman"/>
          <w:szCs w:val="24"/>
          <w:lang w:val="es-MX"/>
        </w:rPr>
      </w:pPr>
      <w:r w:rsidRPr="00C54BB2">
        <w:rPr>
          <w:rFonts w:cs="Times New Roman"/>
          <w:szCs w:val="24"/>
          <w:lang w:val="es-MX"/>
        </w:rPr>
        <w:t>Las características generales de la muestra evidenciaron una edad promedio de 20,08 ± 2,19 años, un peso medio de 60,53 ± 8,53 kg y un IMC promedio de 22,22 ± 1,76 kg/m². En cuanto a los marcadores bioquímicos, la concentración media de AST fue de 25,50 ± 7,44 U/L, con valores comprendidos entre 15 y 47 U/L, mientras que la ALT presentó una media de 20,37 ± 13,53 U/L y un rango entre 8 y 79 U/L (Tabla 1).</w:t>
      </w:r>
      <w:r w:rsidR="00DD5A0C">
        <w:rPr>
          <w:rFonts w:cs="Times New Roman"/>
          <w:szCs w:val="24"/>
          <w:lang w:val="es-MX"/>
        </w:rPr>
        <w:t xml:space="preserve"> </w:t>
      </w:r>
      <w:r w:rsidR="00DD5A0C" w:rsidRPr="00DD5A0C">
        <w:rPr>
          <w:rFonts w:cs="Times New Roman"/>
          <w:szCs w:val="24"/>
        </w:rPr>
        <w:t>La dispersión observada refleja una variabilidad moderada de las variables antropométricas y bioquímicas dentro de la población analizada.</w:t>
      </w:r>
    </w:p>
    <w:p w14:paraId="36FA0E7A" w14:textId="77777777" w:rsidR="00C54BB2" w:rsidRPr="00C54BB2" w:rsidRDefault="00C54BB2" w:rsidP="00C54BB2">
      <w:pPr>
        <w:jc w:val="both"/>
        <w:rPr>
          <w:rFonts w:cs="Times New Roman"/>
          <w:szCs w:val="24"/>
          <w:lang w:val="es-MX"/>
        </w:rPr>
      </w:pPr>
      <w:r w:rsidRPr="00C54BB2">
        <w:rPr>
          <w:rFonts w:cs="Times New Roman"/>
          <w:szCs w:val="24"/>
          <w:lang w:val="es-MX"/>
        </w:rPr>
        <w:t>En la distribución por sexo, la muestra estuvo integrada mayoritariamente por mujeres (64,1 %), mientras que los hombres representaron el 35,9 %, lo que refleja la composición de la población evaluada.</w:t>
      </w:r>
    </w:p>
    <w:p w14:paraId="4D4D0C3D" w14:textId="3533F1E5" w:rsidR="00C54BB2" w:rsidRPr="00C54BB2" w:rsidRDefault="00C54BB2" w:rsidP="00C54BB2">
      <w:pPr>
        <w:jc w:val="both"/>
        <w:rPr>
          <w:rFonts w:cs="Times New Roman"/>
          <w:szCs w:val="24"/>
          <w:lang w:val="es-MX"/>
        </w:rPr>
      </w:pPr>
      <w:r w:rsidRPr="00C54BB2">
        <w:rPr>
          <w:rFonts w:cs="Times New Roman"/>
          <w:szCs w:val="24"/>
          <w:lang w:val="es-MX"/>
        </w:rPr>
        <w:t>Respecto a la evaluación de las transaminasas, se identificó que tres estudiantes (7,9 %) presentaron valores de ALT superiores al límite de referencia establecido (&gt;40 U/L), mientras que dos estudiantes (5,3 %) registraron valores elevados de AST. La mayoría de los participantes presentó concentraciones de ambas enzimas dentro de los rangos considerados normales.</w:t>
      </w:r>
      <w:r w:rsidR="0057759B">
        <w:rPr>
          <w:rFonts w:cs="Times New Roman"/>
          <w:szCs w:val="24"/>
          <w:lang w:val="es-MX"/>
        </w:rPr>
        <w:t xml:space="preserve"> </w:t>
      </w:r>
      <w:r w:rsidR="0057759B" w:rsidRPr="0057759B">
        <w:rPr>
          <w:rFonts w:cs="Times New Roman"/>
          <w:szCs w:val="24"/>
        </w:rPr>
        <w:t>La elevación de ALT fue más frecuente que la elevación de AST en la población estudiada.</w:t>
      </w:r>
    </w:p>
    <w:p w14:paraId="6C65D6A2" w14:textId="77777777" w:rsidR="009B72DF" w:rsidRDefault="009B72DF" w:rsidP="009B72DF">
      <w:pPr>
        <w:jc w:val="both"/>
        <w:rPr>
          <w:rFonts w:cs="Times New Roman"/>
          <w:szCs w:val="24"/>
          <w:lang w:val="es-MX"/>
        </w:rPr>
      </w:pPr>
    </w:p>
    <w:p w14:paraId="671926A9" w14:textId="77777777" w:rsidR="009B72DF" w:rsidRPr="009B72DF" w:rsidRDefault="009B72DF" w:rsidP="009B72DF">
      <w:pPr>
        <w:jc w:val="both"/>
        <w:rPr>
          <w:rFonts w:cs="Times New Roman"/>
          <w:b/>
          <w:bCs/>
          <w:szCs w:val="24"/>
          <w:lang w:val="es-MX"/>
        </w:rPr>
      </w:pPr>
      <w:r w:rsidRPr="009B72DF">
        <w:rPr>
          <w:rFonts w:cs="Times New Roman"/>
          <w:b/>
          <w:bCs/>
          <w:szCs w:val="24"/>
          <w:lang w:val="es-MX"/>
        </w:rPr>
        <w:t xml:space="preserve">Tabla 1. </w:t>
      </w:r>
    </w:p>
    <w:p w14:paraId="71D52156" w14:textId="7BB485FF" w:rsidR="009B72DF" w:rsidRPr="009B72DF" w:rsidRDefault="00C54BB2" w:rsidP="009B72DF">
      <w:pPr>
        <w:jc w:val="both"/>
        <w:rPr>
          <w:rFonts w:cs="Times New Roman"/>
          <w:i/>
          <w:iCs/>
          <w:szCs w:val="24"/>
          <w:lang w:val="es-MX"/>
        </w:rPr>
      </w:pPr>
      <w:r w:rsidRPr="00C54BB2">
        <w:rPr>
          <w:rFonts w:cs="Times New Roman"/>
          <w:i/>
          <w:iCs/>
          <w:szCs w:val="24"/>
          <w:lang w:val="es-MX"/>
        </w:rPr>
        <w:t>Características antropométricas y bioquímicas de los estudiantes con peso normal (n = 38)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97"/>
        <w:gridCol w:w="2197"/>
        <w:gridCol w:w="2197"/>
        <w:gridCol w:w="2198"/>
      </w:tblGrid>
      <w:tr w:rsidR="009B72DF" w:rsidRPr="009B72DF" w14:paraId="0FCD77F3" w14:textId="77777777" w:rsidTr="009B72DF">
        <w:trPr>
          <w:tblHeader/>
          <w:tblCellSpacing w:w="15" w:type="dxa"/>
        </w:trPr>
        <w:tc>
          <w:tcPr>
            <w:tcW w:w="2152" w:type="dxa"/>
            <w:tcBorders>
              <w:top w:val="single" w:sz="4" w:space="0" w:color="auto"/>
              <w:bottom w:val="single" w:sz="4" w:space="0" w:color="auto"/>
            </w:tcBorders>
            <w:vAlign w:val="center"/>
            <w:hideMark/>
          </w:tcPr>
          <w:p w14:paraId="475C1281" w14:textId="77777777" w:rsidR="009B72DF" w:rsidRPr="009B72DF" w:rsidRDefault="009B72DF" w:rsidP="009B72DF">
            <w:pPr>
              <w:jc w:val="center"/>
              <w:rPr>
                <w:rFonts w:cs="Times New Roman"/>
                <w:b/>
                <w:bCs/>
                <w:szCs w:val="24"/>
                <w:lang w:val="es-ES"/>
              </w:rPr>
            </w:pPr>
            <w:r w:rsidRPr="009B72DF">
              <w:rPr>
                <w:rFonts w:cs="Times New Roman"/>
                <w:b/>
                <w:bCs/>
                <w:szCs w:val="24"/>
                <w:lang w:val="es-ES"/>
              </w:rPr>
              <w:t>Variable</w:t>
            </w:r>
          </w:p>
        </w:tc>
        <w:tc>
          <w:tcPr>
            <w:tcW w:w="2167" w:type="dxa"/>
            <w:tcBorders>
              <w:top w:val="single" w:sz="4" w:space="0" w:color="auto"/>
              <w:bottom w:val="single" w:sz="4" w:space="0" w:color="auto"/>
            </w:tcBorders>
            <w:vAlign w:val="center"/>
            <w:hideMark/>
          </w:tcPr>
          <w:p w14:paraId="323EBEEC" w14:textId="77777777" w:rsidR="009B72DF" w:rsidRPr="009B72DF" w:rsidRDefault="009B72DF" w:rsidP="009B72DF">
            <w:pPr>
              <w:jc w:val="center"/>
              <w:rPr>
                <w:rFonts w:cs="Times New Roman"/>
                <w:b/>
                <w:bCs/>
                <w:szCs w:val="24"/>
                <w:lang w:val="es-ES"/>
              </w:rPr>
            </w:pPr>
            <w:r w:rsidRPr="009B72DF">
              <w:rPr>
                <w:rFonts w:cs="Times New Roman"/>
                <w:b/>
                <w:bCs/>
                <w:szCs w:val="24"/>
                <w:lang w:val="es-ES"/>
              </w:rPr>
              <w:t>Media ± DE</w:t>
            </w:r>
          </w:p>
        </w:tc>
        <w:tc>
          <w:tcPr>
            <w:tcW w:w="2167" w:type="dxa"/>
            <w:tcBorders>
              <w:top w:val="single" w:sz="4" w:space="0" w:color="auto"/>
              <w:bottom w:val="single" w:sz="4" w:space="0" w:color="auto"/>
            </w:tcBorders>
            <w:vAlign w:val="center"/>
            <w:hideMark/>
          </w:tcPr>
          <w:p w14:paraId="2C2F3854" w14:textId="77777777" w:rsidR="009B72DF" w:rsidRPr="009B72DF" w:rsidRDefault="009B72DF" w:rsidP="009B72DF">
            <w:pPr>
              <w:jc w:val="center"/>
              <w:rPr>
                <w:rFonts w:cs="Times New Roman"/>
                <w:b/>
                <w:bCs/>
                <w:szCs w:val="24"/>
                <w:lang w:val="es-ES"/>
              </w:rPr>
            </w:pPr>
            <w:r w:rsidRPr="009B72DF">
              <w:rPr>
                <w:rFonts w:cs="Times New Roman"/>
                <w:b/>
                <w:bCs/>
                <w:szCs w:val="24"/>
                <w:lang w:val="es-ES"/>
              </w:rPr>
              <w:t>Mínimo</w:t>
            </w:r>
          </w:p>
        </w:tc>
        <w:tc>
          <w:tcPr>
            <w:tcW w:w="2153" w:type="dxa"/>
            <w:tcBorders>
              <w:top w:val="single" w:sz="4" w:space="0" w:color="auto"/>
              <w:bottom w:val="single" w:sz="4" w:space="0" w:color="auto"/>
            </w:tcBorders>
            <w:vAlign w:val="center"/>
            <w:hideMark/>
          </w:tcPr>
          <w:p w14:paraId="2A90CB21" w14:textId="77777777" w:rsidR="009B72DF" w:rsidRPr="009B72DF" w:rsidRDefault="009B72DF" w:rsidP="009B72DF">
            <w:pPr>
              <w:jc w:val="center"/>
              <w:rPr>
                <w:rFonts w:cs="Times New Roman"/>
                <w:b/>
                <w:bCs/>
                <w:szCs w:val="24"/>
                <w:lang w:val="es-ES"/>
              </w:rPr>
            </w:pPr>
            <w:r w:rsidRPr="009B72DF">
              <w:rPr>
                <w:rFonts w:cs="Times New Roman"/>
                <w:b/>
                <w:bCs/>
                <w:szCs w:val="24"/>
                <w:lang w:val="es-ES"/>
              </w:rPr>
              <w:t>Máximo</w:t>
            </w:r>
          </w:p>
        </w:tc>
      </w:tr>
      <w:tr w:rsidR="009B72DF" w:rsidRPr="009B72DF" w14:paraId="5C074ED9" w14:textId="77777777" w:rsidTr="009B72DF">
        <w:trPr>
          <w:tblCellSpacing w:w="15" w:type="dxa"/>
        </w:trPr>
        <w:tc>
          <w:tcPr>
            <w:tcW w:w="2152" w:type="dxa"/>
            <w:vAlign w:val="center"/>
            <w:hideMark/>
          </w:tcPr>
          <w:p w14:paraId="587F5947" w14:textId="77777777" w:rsidR="009B72DF" w:rsidRPr="009B72DF" w:rsidRDefault="009B72DF" w:rsidP="009B72DF">
            <w:pPr>
              <w:jc w:val="both"/>
              <w:rPr>
                <w:rFonts w:cs="Times New Roman"/>
                <w:szCs w:val="24"/>
                <w:lang w:val="es-ES"/>
              </w:rPr>
            </w:pPr>
            <w:r w:rsidRPr="009B72DF">
              <w:rPr>
                <w:rFonts w:cs="Times New Roman"/>
                <w:szCs w:val="24"/>
                <w:lang w:val="es-ES"/>
              </w:rPr>
              <w:t>Edad (años)</w:t>
            </w:r>
          </w:p>
        </w:tc>
        <w:tc>
          <w:tcPr>
            <w:tcW w:w="2167" w:type="dxa"/>
            <w:vAlign w:val="center"/>
            <w:hideMark/>
          </w:tcPr>
          <w:p w14:paraId="2890D4E2" w14:textId="77777777" w:rsidR="009B72DF" w:rsidRPr="009B72DF" w:rsidRDefault="009B72DF" w:rsidP="009B72DF">
            <w:pPr>
              <w:jc w:val="center"/>
              <w:rPr>
                <w:rFonts w:cs="Times New Roman"/>
                <w:szCs w:val="24"/>
                <w:lang w:val="es-ES"/>
              </w:rPr>
            </w:pPr>
            <w:r w:rsidRPr="009B72DF">
              <w:rPr>
                <w:rFonts w:cs="Times New Roman"/>
                <w:szCs w:val="24"/>
                <w:lang w:val="es-ES"/>
              </w:rPr>
              <w:t>20,08 ± 2,19</w:t>
            </w:r>
          </w:p>
        </w:tc>
        <w:tc>
          <w:tcPr>
            <w:tcW w:w="2167" w:type="dxa"/>
            <w:vAlign w:val="center"/>
            <w:hideMark/>
          </w:tcPr>
          <w:p w14:paraId="57439EA4" w14:textId="77777777" w:rsidR="009B72DF" w:rsidRPr="009B72DF" w:rsidRDefault="009B72DF" w:rsidP="009B72DF">
            <w:pPr>
              <w:jc w:val="center"/>
              <w:rPr>
                <w:rFonts w:cs="Times New Roman"/>
                <w:szCs w:val="24"/>
                <w:lang w:val="es-ES"/>
              </w:rPr>
            </w:pPr>
            <w:r w:rsidRPr="009B72DF">
              <w:rPr>
                <w:rFonts w:cs="Times New Roman"/>
                <w:szCs w:val="24"/>
                <w:lang w:val="es-ES"/>
              </w:rPr>
              <w:t>—</w:t>
            </w:r>
          </w:p>
        </w:tc>
        <w:tc>
          <w:tcPr>
            <w:tcW w:w="2153" w:type="dxa"/>
            <w:vAlign w:val="center"/>
            <w:hideMark/>
          </w:tcPr>
          <w:p w14:paraId="5829F0CA" w14:textId="77777777" w:rsidR="009B72DF" w:rsidRPr="009B72DF" w:rsidRDefault="009B72DF" w:rsidP="009B72DF">
            <w:pPr>
              <w:jc w:val="center"/>
              <w:rPr>
                <w:rFonts w:cs="Times New Roman"/>
                <w:szCs w:val="24"/>
                <w:lang w:val="es-ES"/>
              </w:rPr>
            </w:pPr>
            <w:r w:rsidRPr="009B72DF">
              <w:rPr>
                <w:rFonts w:cs="Times New Roman"/>
                <w:szCs w:val="24"/>
                <w:lang w:val="es-ES"/>
              </w:rPr>
              <w:t>—</w:t>
            </w:r>
          </w:p>
        </w:tc>
      </w:tr>
      <w:tr w:rsidR="009B72DF" w:rsidRPr="009B72DF" w14:paraId="560CDA3E" w14:textId="77777777" w:rsidTr="009B72DF">
        <w:trPr>
          <w:tblCellSpacing w:w="15" w:type="dxa"/>
        </w:trPr>
        <w:tc>
          <w:tcPr>
            <w:tcW w:w="2152" w:type="dxa"/>
            <w:vAlign w:val="center"/>
            <w:hideMark/>
          </w:tcPr>
          <w:p w14:paraId="1F68B007" w14:textId="77777777" w:rsidR="009B72DF" w:rsidRPr="009B72DF" w:rsidRDefault="009B72DF" w:rsidP="009B72DF">
            <w:pPr>
              <w:jc w:val="both"/>
              <w:rPr>
                <w:rFonts w:cs="Times New Roman"/>
                <w:szCs w:val="24"/>
                <w:lang w:val="es-ES"/>
              </w:rPr>
            </w:pPr>
            <w:r w:rsidRPr="009B72DF">
              <w:rPr>
                <w:rFonts w:cs="Times New Roman"/>
                <w:szCs w:val="24"/>
                <w:lang w:val="es-ES"/>
              </w:rPr>
              <w:t>Peso (kg)</w:t>
            </w:r>
          </w:p>
        </w:tc>
        <w:tc>
          <w:tcPr>
            <w:tcW w:w="2167" w:type="dxa"/>
            <w:vAlign w:val="center"/>
            <w:hideMark/>
          </w:tcPr>
          <w:p w14:paraId="0E35C42E" w14:textId="77777777" w:rsidR="009B72DF" w:rsidRPr="009B72DF" w:rsidRDefault="009B72DF" w:rsidP="009B72DF">
            <w:pPr>
              <w:jc w:val="center"/>
              <w:rPr>
                <w:rFonts w:cs="Times New Roman"/>
                <w:szCs w:val="24"/>
                <w:lang w:val="es-ES"/>
              </w:rPr>
            </w:pPr>
            <w:r w:rsidRPr="009B72DF">
              <w:rPr>
                <w:rFonts w:cs="Times New Roman"/>
                <w:szCs w:val="24"/>
                <w:lang w:val="es-ES"/>
              </w:rPr>
              <w:t>60,53 ± 8,53</w:t>
            </w:r>
          </w:p>
        </w:tc>
        <w:tc>
          <w:tcPr>
            <w:tcW w:w="2167" w:type="dxa"/>
            <w:vAlign w:val="center"/>
            <w:hideMark/>
          </w:tcPr>
          <w:p w14:paraId="3FB3BEB3" w14:textId="77777777" w:rsidR="009B72DF" w:rsidRPr="009B72DF" w:rsidRDefault="009B72DF" w:rsidP="009B72DF">
            <w:pPr>
              <w:jc w:val="center"/>
              <w:rPr>
                <w:rFonts w:cs="Times New Roman"/>
                <w:szCs w:val="24"/>
                <w:lang w:val="es-ES"/>
              </w:rPr>
            </w:pPr>
            <w:r w:rsidRPr="009B72DF">
              <w:rPr>
                <w:rFonts w:cs="Times New Roman"/>
                <w:szCs w:val="24"/>
                <w:lang w:val="es-ES"/>
              </w:rPr>
              <w:t>—</w:t>
            </w:r>
          </w:p>
        </w:tc>
        <w:tc>
          <w:tcPr>
            <w:tcW w:w="2153" w:type="dxa"/>
            <w:vAlign w:val="center"/>
            <w:hideMark/>
          </w:tcPr>
          <w:p w14:paraId="6DA7B663" w14:textId="77777777" w:rsidR="009B72DF" w:rsidRPr="009B72DF" w:rsidRDefault="009B72DF" w:rsidP="009B72DF">
            <w:pPr>
              <w:jc w:val="center"/>
              <w:rPr>
                <w:rFonts w:cs="Times New Roman"/>
                <w:szCs w:val="24"/>
                <w:lang w:val="es-ES"/>
              </w:rPr>
            </w:pPr>
            <w:r w:rsidRPr="009B72DF">
              <w:rPr>
                <w:rFonts w:cs="Times New Roman"/>
                <w:szCs w:val="24"/>
                <w:lang w:val="es-ES"/>
              </w:rPr>
              <w:t>—</w:t>
            </w:r>
          </w:p>
        </w:tc>
      </w:tr>
      <w:tr w:rsidR="009B72DF" w:rsidRPr="009B72DF" w14:paraId="1750DE6D" w14:textId="77777777" w:rsidTr="009B72DF">
        <w:trPr>
          <w:tblCellSpacing w:w="15" w:type="dxa"/>
        </w:trPr>
        <w:tc>
          <w:tcPr>
            <w:tcW w:w="2152" w:type="dxa"/>
            <w:vAlign w:val="center"/>
            <w:hideMark/>
          </w:tcPr>
          <w:p w14:paraId="461D541D" w14:textId="77777777" w:rsidR="009B72DF" w:rsidRPr="009B72DF" w:rsidRDefault="009B72DF" w:rsidP="009B72DF">
            <w:pPr>
              <w:jc w:val="both"/>
              <w:rPr>
                <w:rFonts w:cs="Times New Roman"/>
                <w:szCs w:val="24"/>
                <w:lang w:val="es-ES"/>
              </w:rPr>
            </w:pPr>
            <w:r w:rsidRPr="009B72DF">
              <w:rPr>
                <w:rFonts w:cs="Times New Roman"/>
                <w:szCs w:val="24"/>
                <w:lang w:val="es-ES"/>
              </w:rPr>
              <w:t>IMC (kg/m²)</w:t>
            </w:r>
          </w:p>
        </w:tc>
        <w:tc>
          <w:tcPr>
            <w:tcW w:w="2167" w:type="dxa"/>
            <w:vAlign w:val="center"/>
            <w:hideMark/>
          </w:tcPr>
          <w:p w14:paraId="6E30C356" w14:textId="77777777" w:rsidR="009B72DF" w:rsidRPr="009B72DF" w:rsidRDefault="009B72DF" w:rsidP="009B72DF">
            <w:pPr>
              <w:jc w:val="center"/>
              <w:rPr>
                <w:rFonts w:cs="Times New Roman"/>
                <w:szCs w:val="24"/>
                <w:lang w:val="es-ES"/>
              </w:rPr>
            </w:pPr>
            <w:r w:rsidRPr="009B72DF">
              <w:rPr>
                <w:rFonts w:cs="Times New Roman"/>
                <w:szCs w:val="24"/>
                <w:lang w:val="es-ES"/>
              </w:rPr>
              <w:t>22,22 ± 1,76</w:t>
            </w:r>
          </w:p>
        </w:tc>
        <w:tc>
          <w:tcPr>
            <w:tcW w:w="2167" w:type="dxa"/>
            <w:vAlign w:val="center"/>
            <w:hideMark/>
          </w:tcPr>
          <w:p w14:paraId="5FC29C2C" w14:textId="77777777" w:rsidR="009B72DF" w:rsidRPr="009B72DF" w:rsidRDefault="009B72DF" w:rsidP="009B72DF">
            <w:pPr>
              <w:jc w:val="center"/>
              <w:rPr>
                <w:rFonts w:cs="Times New Roman"/>
                <w:szCs w:val="24"/>
                <w:lang w:val="es-ES"/>
              </w:rPr>
            </w:pPr>
            <w:r w:rsidRPr="009B72DF">
              <w:rPr>
                <w:rFonts w:cs="Times New Roman"/>
                <w:szCs w:val="24"/>
                <w:lang w:val="es-ES"/>
              </w:rPr>
              <w:t>—</w:t>
            </w:r>
          </w:p>
        </w:tc>
        <w:tc>
          <w:tcPr>
            <w:tcW w:w="2153" w:type="dxa"/>
            <w:vAlign w:val="center"/>
            <w:hideMark/>
          </w:tcPr>
          <w:p w14:paraId="47EE2D69" w14:textId="77777777" w:rsidR="009B72DF" w:rsidRPr="009B72DF" w:rsidRDefault="009B72DF" w:rsidP="009B72DF">
            <w:pPr>
              <w:jc w:val="center"/>
              <w:rPr>
                <w:rFonts w:cs="Times New Roman"/>
                <w:szCs w:val="24"/>
                <w:lang w:val="es-ES"/>
              </w:rPr>
            </w:pPr>
            <w:r w:rsidRPr="009B72DF">
              <w:rPr>
                <w:rFonts w:cs="Times New Roman"/>
                <w:szCs w:val="24"/>
                <w:lang w:val="es-ES"/>
              </w:rPr>
              <w:t>—</w:t>
            </w:r>
          </w:p>
        </w:tc>
      </w:tr>
      <w:tr w:rsidR="009B72DF" w:rsidRPr="009B72DF" w14:paraId="4DCD61EC" w14:textId="77777777" w:rsidTr="009B72DF">
        <w:trPr>
          <w:tblCellSpacing w:w="15" w:type="dxa"/>
        </w:trPr>
        <w:tc>
          <w:tcPr>
            <w:tcW w:w="2152" w:type="dxa"/>
            <w:vAlign w:val="center"/>
            <w:hideMark/>
          </w:tcPr>
          <w:p w14:paraId="1471C7CD" w14:textId="77777777" w:rsidR="009B72DF" w:rsidRPr="009B72DF" w:rsidRDefault="009B72DF" w:rsidP="009B72DF">
            <w:pPr>
              <w:jc w:val="both"/>
              <w:rPr>
                <w:rFonts w:cs="Times New Roman"/>
                <w:szCs w:val="24"/>
                <w:lang w:val="es-ES"/>
              </w:rPr>
            </w:pPr>
            <w:r w:rsidRPr="009B72DF">
              <w:rPr>
                <w:rFonts w:cs="Times New Roman"/>
                <w:szCs w:val="24"/>
                <w:lang w:val="es-ES"/>
              </w:rPr>
              <w:t>AST (U/L)</w:t>
            </w:r>
          </w:p>
        </w:tc>
        <w:tc>
          <w:tcPr>
            <w:tcW w:w="2167" w:type="dxa"/>
            <w:vAlign w:val="center"/>
            <w:hideMark/>
          </w:tcPr>
          <w:p w14:paraId="6C0AD2E5" w14:textId="77777777" w:rsidR="009B72DF" w:rsidRPr="009B72DF" w:rsidRDefault="009B72DF" w:rsidP="009B72DF">
            <w:pPr>
              <w:jc w:val="center"/>
              <w:rPr>
                <w:rFonts w:cs="Times New Roman"/>
                <w:szCs w:val="24"/>
                <w:lang w:val="es-ES"/>
              </w:rPr>
            </w:pPr>
            <w:r w:rsidRPr="009B72DF">
              <w:rPr>
                <w:rFonts w:cs="Times New Roman"/>
                <w:szCs w:val="24"/>
                <w:lang w:val="es-ES"/>
              </w:rPr>
              <w:t>25,50 ± 7,44</w:t>
            </w:r>
          </w:p>
        </w:tc>
        <w:tc>
          <w:tcPr>
            <w:tcW w:w="2167" w:type="dxa"/>
            <w:vAlign w:val="center"/>
            <w:hideMark/>
          </w:tcPr>
          <w:p w14:paraId="764989B5" w14:textId="77777777" w:rsidR="009B72DF" w:rsidRPr="009B72DF" w:rsidRDefault="009B72DF" w:rsidP="009B72DF">
            <w:pPr>
              <w:jc w:val="center"/>
              <w:rPr>
                <w:rFonts w:cs="Times New Roman"/>
                <w:szCs w:val="24"/>
                <w:lang w:val="es-ES"/>
              </w:rPr>
            </w:pPr>
            <w:r w:rsidRPr="009B72DF">
              <w:rPr>
                <w:rFonts w:cs="Times New Roman"/>
                <w:szCs w:val="24"/>
                <w:lang w:val="es-ES"/>
              </w:rPr>
              <w:t>15</w:t>
            </w:r>
          </w:p>
        </w:tc>
        <w:tc>
          <w:tcPr>
            <w:tcW w:w="2153" w:type="dxa"/>
            <w:vAlign w:val="center"/>
            <w:hideMark/>
          </w:tcPr>
          <w:p w14:paraId="7E34E1F5" w14:textId="77777777" w:rsidR="009B72DF" w:rsidRPr="009B72DF" w:rsidRDefault="009B72DF" w:rsidP="009B72DF">
            <w:pPr>
              <w:jc w:val="center"/>
              <w:rPr>
                <w:rFonts w:cs="Times New Roman"/>
                <w:szCs w:val="24"/>
                <w:lang w:val="es-ES"/>
              </w:rPr>
            </w:pPr>
            <w:r w:rsidRPr="009B72DF">
              <w:rPr>
                <w:rFonts w:cs="Times New Roman"/>
                <w:szCs w:val="24"/>
                <w:lang w:val="es-ES"/>
              </w:rPr>
              <w:t>47</w:t>
            </w:r>
          </w:p>
        </w:tc>
      </w:tr>
      <w:tr w:rsidR="009B72DF" w:rsidRPr="009B72DF" w14:paraId="3C168845" w14:textId="77777777" w:rsidTr="009B72DF">
        <w:trPr>
          <w:tblCellSpacing w:w="15" w:type="dxa"/>
        </w:trPr>
        <w:tc>
          <w:tcPr>
            <w:tcW w:w="2152" w:type="dxa"/>
            <w:tcBorders>
              <w:bottom w:val="single" w:sz="4" w:space="0" w:color="auto"/>
            </w:tcBorders>
            <w:vAlign w:val="center"/>
            <w:hideMark/>
          </w:tcPr>
          <w:p w14:paraId="5B32868E" w14:textId="77777777" w:rsidR="009B72DF" w:rsidRPr="009B72DF" w:rsidRDefault="009B72DF" w:rsidP="009B72DF">
            <w:pPr>
              <w:jc w:val="both"/>
              <w:rPr>
                <w:rFonts w:cs="Times New Roman"/>
                <w:szCs w:val="24"/>
                <w:lang w:val="es-ES"/>
              </w:rPr>
            </w:pPr>
            <w:r w:rsidRPr="009B72DF">
              <w:rPr>
                <w:rFonts w:cs="Times New Roman"/>
                <w:szCs w:val="24"/>
                <w:lang w:val="es-ES"/>
              </w:rPr>
              <w:t>ALT (U/L)</w:t>
            </w:r>
          </w:p>
        </w:tc>
        <w:tc>
          <w:tcPr>
            <w:tcW w:w="2167" w:type="dxa"/>
            <w:tcBorders>
              <w:bottom w:val="single" w:sz="4" w:space="0" w:color="auto"/>
            </w:tcBorders>
            <w:vAlign w:val="center"/>
            <w:hideMark/>
          </w:tcPr>
          <w:p w14:paraId="3C60DE09" w14:textId="77777777" w:rsidR="009B72DF" w:rsidRPr="009B72DF" w:rsidRDefault="009B72DF" w:rsidP="009B72DF">
            <w:pPr>
              <w:jc w:val="center"/>
              <w:rPr>
                <w:rFonts w:cs="Times New Roman"/>
                <w:szCs w:val="24"/>
                <w:lang w:val="es-ES"/>
              </w:rPr>
            </w:pPr>
            <w:r w:rsidRPr="009B72DF">
              <w:rPr>
                <w:rFonts w:cs="Times New Roman"/>
                <w:szCs w:val="24"/>
                <w:lang w:val="es-ES"/>
              </w:rPr>
              <w:t>20,37 ± 13,53</w:t>
            </w:r>
          </w:p>
        </w:tc>
        <w:tc>
          <w:tcPr>
            <w:tcW w:w="2167" w:type="dxa"/>
            <w:tcBorders>
              <w:bottom w:val="single" w:sz="4" w:space="0" w:color="auto"/>
            </w:tcBorders>
            <w:vAlign w:val="center"/>
            <w:hideMark/>
          </w:tcPr>
          <w:p w14:paraId="6B32E10C" w14:textId="77777777" w:rsidR="009B72DF" w:rsidRPr="009B72DF" w:rsidRDefault="009B72DF" w:rsidP="009B72DF">
            <w:pPr>
              <w:jc w:val="center"/>
              <w:rPr>
                <w:rFonts w:cs="Times New Roman"/>
                <w:szCs w:val="24"/>
                <w:lang w:val="es-ES"/>
              </w:rPr>
            </w:pPr>
            <w:r w:rsidRPr="009B72DF">
              <w:rPr>
                <w:rFonts w:cs="Times New Roman"/>
                <w:szCs w:val="24"/>
                <w:lang w:val="es-ES"/>
              </w:rPr>
              <w:t>8</w:t>
            </w:r>
          </w:p>
        </w:tc>
        <w:tc>
          <w:tcPr>
            <w:tcW w:w="2153" w:type="dxa"/>
            <w:tcBorders>
              <w:bottom w:val="single" w:sz="4" w:space="0" w:color="auto"/>
            </w:tcBorders>
            <w:vAlign w:val="center"/>
            <w:hideMark/>
          </w:tcPr>
          <w:p w14:paraId="19F08B23" w14:textId="77777777" w:rsidR="009B72DF" w:rsidRPr="009B72DF" w:rsidRDefault="009B72DF" w:rsidP="009B72DF">
            <w:pPr>
              <w:jc w:val="center"/>
              <w:rPr>
                <w:rFonts w:cs="Times New Roman"/>
                <w:szCs w:val="24"/>
                <w:lang w:val="es-ES"/>
              </w:rPr>
            </w:pPr>
            <w:r w:rsidRPr="009B72DF">
              <w:rPr>
                <w:rFonts w:cs="Times New Roman"/>
                <w:szCs w:val="24"/>
                <w:lang w:val="es-ES"/>
              </w:rPr>
              <w:t>79</w:t>
            </w:r>
          </w:p>
        </w:tc>
      </w:tr>
    </w:tbl>
    <w:p w14:paraId="2005D3F7" w14:textId="058CB989" w:rsidR="009B72DF" w:rsidRDefault="0057759B" w:rsidP="009B72DF">
      <w:pPr>
        <w:jc w:val="both"/>
        <w:rPr>
          <w:rFonts w:cs="Times New Roman"/>
          <w:szCs w:val="24"/>
          <w:lang w:val="es-MX"/>
        </w:rPr>
      </w:pPr>
      <w:r>
        <w:rPr>
          <w:rFonts w:cs="Times New Roman"/>
          <w:szCs w:val="24"/>
          <w:lang w:val="es-MX"/>
        </w:rPr>
        <w:t xml:space="preserve">Nota: </w:t>
      </w:r>
      <w:r w:rsidRPr="0057759B">
        <w:rPr>
          <w:rFonts w:cs="Times New Roman"/>
          <w:szCs w:val="24"/>
        </w:rPr>
        <w:t>DE: desviación estándar; IMC: índice de masa corporal.</w:t>
      </w:r>
    </w:p>
    <w:p w14:paraId="245B178B" w14:textId="77777777" w:rsidR="009B72DF" w:rsidRPr="009B72DF" w:rsidRDefault="009B72DF" w:rsidP="009B72DF">
      <w:pPr>
        <w:jc w:val="both"/>
        <w:rPr>
          <w:rFonts w:cs="Times New Roman"/>
          <w:b/>
          <w:bCs/>
          <w:szCs w:val="24"/>
          <w:lang w:val="es-MX"/>
        </w:rPr>
      </w:pPr>
      <w:r w:rsidRPr="009B72DF">
        <w:rPr>
          <w:rFonts w:cs="Times New Roman"/>
          <w:b/>
          <w:bCs/>
          <w:szCs w:val="24"/>
          <w:lang w:val="es-MX"/>
        </w:rPr>
        <w:t xml:space="preserve">Tabla 2. </w:t>
      </w:r>
    </w:p>
    <w:p w14:paraId="3D2BF778" w14:textId="77A04586" w:rsidR="009B72DF" w:rsidRPr="009B72DF" w:rsidRDefault="0057759B" w:rsidP="009B72DF">
      <w:pPr>
        <w:jc w:val="both"/>
        <w:rPr>
          <w:rFonts w:cs="Times New Roman"/>
          <w:i/>
          <w:iCs/>
          <w:szCs w:val="24"/>
          <w:lang w:val="es-MX"/>
        </w:rPr>
      </w:pPr>
      <w:r w:rsidRPr="0057759B">
        <w:rPr>
          <w:rFonts w:cs="Times New Roman"/>
          <w:i/>
          <w:iCs/>
          <w:szCs w:val="24"/>
          <w:lang w:val="es-MX"/>
        </w:rPr>
        <w:t>Distribución de los estudiantes con peso normal según sexo (n = 39)</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2930"/>
        <w:gridCol w:w="2930"/>
      </w:tblGrid>
      <w:tr w:rsidR="009B72DF" w:rsidRPr="009B72DF" w14:paraId="58F19A5E" w14:textId="77777777" w:rsidTr="009B72DF">
        <w:trPr>
          <w:tblHeader/>
          <w:tblCellSpacing w:w="15" w:type="dxa"/>
        </w:trPr>
        <w:tc>
          <w:tcPr>
            <w:tcW w:w="2884" w:type="dxa"/>
            <w:tcBorders>
              <w:top w:val="single" w:sz="4" w:space="0" w:color="auto"/>
              <w:bottom w:val="single" w:sz="4" w:space="0" w:color="auto"/>
            </w:tcBorders>
            <w:vAlign w:val="center"/>
            <w:hideMark/>
          </w:tcPr>
          <w:p w14:paraId="4D6FB75B" w14:textId="35717356" w:rsidR="009B72DF" w:rsidRPr="009B72DF" w:rsidRDefault="00C54BB2" w:rsidP="009B72DF">
            <w:pPr>
              <w:jc w:val="center"/>
              <w:rPr>
                <w:rFonts w:cs="Times New Roman"/>
                <w:b/>
                <w:bCs/>
                <w:szCs w:val="24"/>
                <w:lang w:val="es-ES"/>
              </w:rPr>
            </w:pPr>
            <w:r w:rsidRPr="00C54BB2">
              <w:rPr>
                <w:rFonts w:cs="Times New Roman"/>
                <w:b/>
                <w:bCs/>
                <w:szCs w:val="24"/>
                <w:lang w:val="es-ES"/>
              </w:rPr>
              <w:lastRenderedPageBreak/>
              <w:t>Sexo</w:t>
            </w:r>
          </w:p>
        </w:tc>
        <w:tc>
          <w:tcPr>
            <w:tcW w:w="2900" w:type="dxa"/>
            <w:tcBorders>
              <w:top w:val="single" w:sz="4" w:space="0" w:color="auto"/>
              <w:bottom w:val="single" w:sz="4" w:space="0" w:color="auto"/>
            </w:tcBorders>
            <w:vAlign w:val="center"/>
            <w:hideMark/>
          </w:tcPr>
          <w:p w14:paraId="51D9FD71" w14:textId="4B57E0F4" w:rsidR="009B72DF" w:rsidRPr="009B72DF" w:rsidRDefault="00C54BB2" w:rsidP="009B72DF">
            <w:pPr>
              <w:jc w:val="center"/>
              <w:rPr>
                <w:rFonts w:cs="Times New Roman"/>
                <w:b/>
                <w:bCs/>
                <w:szCs w:val="24"/>
                <w:lang w:val="es-ES"/>
              </w:rPr>
            </w:pPr>
            <w:r>
              <w:rPr>
                <w:rFonts w:cs="Times New Roman"/>
                <w:b/>
                <w:bCs/>
                <w:szCs w:val="24"/>
                <w:lang w:val="es-ES"/>
              </w:rPr>
              <w:t>n</w:t>
            </w:r>
          </w:p>
        </w:tc>
        <w:tc>
          <w:tcPr>
            <w:tcW w:w="2885" w:type="dxa"/>
            <w:tcBorders>
              <w:top w:val="single" w:sz="4" w:space="0" w:color="auto"/>
              <w:bottom w:val="single" w:sz="4" w:space="0" w:color="auto"/>
            </w:tcBorders>
            <w:vAlign w:val="center"/>
            <w:hideMark/>
          </w:tcPr>
          <w:p w14:paraId="32DCBAA8" w14:textId="77777777" w:rsidR="009B72DF" w:rsidRPr="009B72DF" w:rsidRDefault="009B72DF" w:rsidP="009B72DF">
            <w:pPr>
              <w:jc w:val="center"/>
              <w:rPr>
                <w:rFonts w:cs="Times New Roman"/>
                <w:b/>
                <w:bCs/>
                <w:szCs w:val="24"/>
                <w:lang w:val="es-ES"/>
              </w:rPr>
            </w:pPr>
            <w:r w:rsidRPr="009B72DF">
              <w:rPr>
                <w:rFonts w:cs="Times New Roman"/>
                <w:b/>
                <w:bCs/>
                <w:szCs w:val="24"/>
                <w:lang w:val="es-ES"/>
              </w:rPr>
              <w:t>%</w:t>
            </w:r>
          </w:p>
        </w:tc>
      </w:tr>
      <w:tr w:rsidR="009B72DF" w:rsidRPr="009B72DF" w14:paraId="6A04A922" w14:textId="77777777" w:rsidTr="009B72DF">
        <w:trPr>
          <w:tblCellSpacing w:w="15" w:type="dxa"/>
        </w:trPr>
        <w:tc>
          <w:tcPr>
            <w:tcW w:w="2884" w:type="dxa"/>
            <w:vAlign w:val="center"/>
            <w:hideMark/>
          </w:tcPr>
          <w:p w14:paraId="47BBF219" w14:textId="4451D5F8" w:rsidR="009B72DF" w:rsidRPr="009B72DF" w:rsidRDefault="00C54BB2" w:rsidP="009B72DF">
            <w:pPr>
              <w:jc w:val="both"/>
              <w:rPr>
                <w:rFonts w:cs="Times New Roman"/>
                <w:szCs w:val="24"/>
                <w:lang w:val="es-ES"/>
              </w:rPr>
            </w:pPr>
            <w:r w:rsidRPr="00C54BB2">
              <w:rPr>
                <w:rFonts w:cs="Times New Roman"/>
                <w:szCs w:val="24"/>
                <w:lang w:val="es-ES"/>
              </w:rPr>
              <w:t>Femenino</w:t>
            </w:r>
          </w:p>
        </w:tc>
        <w:tc>
          <w:tcPr>
            <w:tcW w:w="2900" w:type="dxa"/>
            <w:vAlign w:val="center"/>
            <w:hideMark/>
          </w:tcPr>
          <w:p w14:paraId="10437CC8" w14:textId="4749E45D" w:rsidR="009B72DF" w:rsidRPr="009B72DF" w:rsidRDefault="00C54BB2" w:rsidP="009B72DF">
            <w:pPr>
              <w:jc w:val="center"/>
              <w:rPr>
                <w:rFonts w:cs="Times New Roman"/>
                <w:szCs w:val="24"/>
                <w:lang w:val="es-ES"/>
              </w:rPr>
            </w:pPr>
            <w:r>
              <w:rPr>
                <w:rFonts w:cs="Times New Roman"/>
                <w:szCs w:val="24"/>
                <w:lang w:val="es-ES"/>
              </w:rPr>
              <w:t>2</w:t>
            </w:r>
            <w:r>
              <w:rPr>
                <w:szCs w:val="24"/>
                <w:lang w:val="es-ES"/>
              </w:rPr>
              <w:t>5</w:t>
            </w:r>
          </w:p>
        </w:tc>
        <w:tc>
          <w:tcPr>
            <w:tcW w:w="2885" w:type="dxa"/>
            <w:vAlign w:val="center"/>
            <w:hideMark/>
          </w:tcPr>
          <w:p w14:paraId="0816B404" w14:textId="18CA7BEE" w:rsidR="009B72DF" w:rsidRPr="009B72DF" w:rsidRDefault="00C54BB2" w:rsidP="009B72DF">
            <w:pPr>
              <w:jc w:val="center"/>
              <w:rPr>
                <w:rFonts w:cs="Times New Roman"/>
                <w:szCs w:val="24"/>
                <w:lang w:val="es-ES"/>
              </w:rPr>
            </w:pPr>
            <w:r>
              <w:rPr>
                <w:rFonts w:cs="Times New Roman"/>
                <w:szCs w:val="24"/>
                <w:lang w:val="es-ES"/>
              </w:rPr>
              <w:t>6</w:t>
            </w:r>
            <w:r w:rsidR="00DD5A0C">
              <w:rPr>
                <w:szCs w:val="24"/>
                <w:lang w:val="es-ES"/>
              </w:rPr>
              <w:t>4</w:t>
            </w:r>
            <w:r>
              <w:rPr>
                <w:szCs w:val="24"/>
                <w:lang w:val="es-ES"/>
              </w:rPr>
              <w:t>,1</w:t>
            </w:r>
          </w:p>
        </w:tc>
      </w:tr>
      <w:tr w:rsidR="009B72DF" w:rsidRPr="009B72DF" w14:paraId="44C104A1" w14:textId="77777777" w:rsidTr="009B72DF">
        <w:trPr>
          <w:tblCellSpacing w:w="15" w:type="dxa"/>
        </w:trPr>
        <w:tc>
          <w:tcPr>
            <w:tcW w:w="2884" w:type="dxa"/>
            <w:tcBorders>
              <w:bottom w:val="single" w:sz="4" w:space="0" w:color="auto"/>
            </w:tcBorders>
            <w:vAlign w:val="center"/>
            <w:hideMark/>
          </w:tcPr>
          <w:p w14:paraId="4FD97995" w14:textId="4467891D" w:rsidR="009B72DF" w:rsidRPr="009B72DF" w:rsidRDefault="00C54BB2" w:rsidP="009B72DF">
            <w:pPr>
              <w:jc w:val="both"/>
              <w:rPr>
                <w:rFonts w:cs="Times New Roman"/>
                <w:szCs w:val="24"/>
                <w:lang w:val="es-ES"/>
              </w:rPr>
            </w:pPr>
            <w:r w:rsidRPr="00C54BB2">
              <w:rPr>
                <w:rFonts w:cs="Times New Roman"/>
                <w:szCs w:val="24"/>
                <w:lang w:val="es-ES"/>
              </w:rPr>
              <w:t>Masculino</w:t>
            </w:r>
          </w:p>
        </w:tc>
        <w:tc>
          <w:tcPr>
            <w:tcW w:w="2900" w:type="dxa"/>
            <w:tcBorders>
              <w:bottom w:val="single" w:sz="4" w:space="0" w:color="auto"/>
            </w:tcBorders>
            <w:vAlign w:val="center"/>
            <w:hideMark/>
          </w:tcPr>
          <w:p w14:paraId="651A291C" w14:textId="1F73F205" w:rsidR="009B72DF" w:rsidRPr="009B72DF" w:rsidRDefault="00C54BB2" w:rsidP="009B72DF">
            <w:pPr>
              <w:jc w:val="center"/>
              <w:rPr>
                <w:rFonts w:cs="Times New Roman"/>
                <w:szCs w:val="24"/>
                <w:lang w:val="es-ES"/>
              </w:rPr>
            </w:pPr>
            <w:r>
              <w:rPr>
                <w:rFonts w:cs="Times New Roman"/>
                <w:szCs w:val="24"/>
                <w:lang w:val="es-ES"/>
              </w:rPr>
              <w:t>1</w:t>
            </w:r>
            <w:r>
              <w:rPr>
                <w:szCs w:val="24"/>
                <w:lang w:val="es-ES"/>
              </w:rPr>
              <w:t>4</w:t>
            </w:r>
          </w:p>
        </w:tc>
        <w:tc>
          <w:tcPr>
            <w:tcW w:w="2885" w:type="dxa"/>
            <w:tcBorders>
              <w:bottom w:val="single" w:sz="4" w:space="0" w:color="auto"/>
            </w:tcBorders>
            <w:vAlign w:val="center"/>
            <w:hideMark/>
          </w:tcPr>
          <w:p w14:paraId="37A80B29" w14:textId="44A20BAE" w:rsidR="009B72DF" w:rsidRPr="009B72DF" w:rsidRDefault="00C54BB2" w:rsidP="009B72DF">
            <w:pPr>
              <w:jc w:val="center"/>
              <w:rPr>
                <w:rFonts w:cs="Times New Roman"/>
                <w:szCs w:val="24"/>
                <w:lang w:val="es-ES"/>
              </w:rPr>
            </w:pPr>
            <w:r>
              <w:rPr>
                <w:rFonts w:cs="Times New Roman"/>
                <w:szCs w:val="24"/>
                <w:lang w:val="es-ES"/>
              </w:rPr>
              <w:t>3</w:t>
            </w:r>
            <w:r>
              <w:rPr>
                <w:szCs w:val="24"/>
                <w:lang w:val="es-ES"/>
              </w:rPr>
              <w:t>5,9</w:t>
            </w:r>
          </w:p>
        </w:tc>
      </w:tr>
    </w:tbl>
    <w:p w14:paraId="67BBBBAA" w14:textId="77777777" w:rsidR="009B72DF" w:rsidRDefault="009B72DF" w:rsidP="009B72DF">
      <w:pPr>
        <w:jc w:val="both"/>
        <w:rPr>
          <w:rFonts w:cs="Times New Roman"/>
          <w:szCs w:val="24"/>
          <w:lang w:val="es-MX"/>
        </w:rPr>
      </w:pPr>
    </w:p>
    <w:p w14:paraId="7CA8859A" w14:textId="77777777" w:rsidR="009B72DF" w:rsidRPr="009B72DF" w:rsidRDefault="009B72DF" w:rsidP="009B72DF">
      <w:pPr>
        <w:jc w:val="both"/>
        <w:rPr>
          <w:rFonts w:cs="Times New Roman"/>
          <w:b/>
          <w:bCs/>
          <w:szCs w:val="24"/>
          <w:lang w:val="es-MX"/>
        </w:rPr>
      </w:pPr>
      <w:r w:rsidRPr="009B72DF">
        <w:rPr>
          <w:rFonts w:cs="Times New Roman"/>
          <w:b/>
          <w:bCs/>
          <w:szCs w:val="24"/>
          <w:lang w:val="es-MX"/>
        </w:rPr>
        <w:t>Tabla 3</w:t>
      </w:r>
    </w:p>
    <w:p w14:paraId="3EBBD55C" w14:textId="5D28AE9E" w:rsidR="009B72DF" w:rsidRPr="009B72DF" w:rsidRDefault="00C54BB2" w:rsidP="009B72DF">
      <w:pPr>
        <w:jc w:val="both"/>
        <w:rPr>
          <w:rFonts w:cs="Times New Roman"/>
          <w:i/>
          <w:iCs/>
          <w:szCs w:val="24"/>
          <w:lang w:val="es-MX"/>
        </w:rPr>
      </w:pPr>
      <w:r w:rsidRPr="00C54BB2">
        <w:rPr>
          <w:rFonts w:cs="Times New Roman"/>
          <w:i/>
          <w:iCs/>
          <w:szCs w:val="24"/>
          <w:lang w:val="es-MX"/>
        </w:rPr>
        <w:t>Elevación de transaminasas (n = 38)</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2930"/>
        <w:gridCol w:w="2930"/>
      </w:tblGrid>
      <w:tr w:rsidR="009B72DF" w:rsidRPr="009B72DF" w14:paraId="071A1F98" w14:textId="77777777" w:rsidTr="009B72DF">
        <w:trPr>
          <w:tblHeader/>
          <w:tblCellSpacing w:w="15" w:type="dxa"/>
        </w:trPr>
        <w:tc>
          <w:tcPr>
            <w:tcW w:w="2884" w:type="dxa"/>
            <w:tcBorders>
              <w:top w:val="single" w:sz="4" w:space="0" w:color="auto"/>
              <w:bottom w:val="single" w:sz="4" w:space="0" w:color="auto"/>
            </w:tcBorders>
            <w:vAlign w:val="center"/>
            <w:hideMark/>
          </w:tcPr>
          <w:p w14:paraId="2A2463FE" w14:textId="5ABE062B" w:rsidR="009B72DF" w:rsidRPr="009B72DF" w:rsidRDefault="00C54BB2" w:rsidP="009B72DF">
            <w:pPr>
              <w:jc w:val="center"/>
              <w:rPr>
                <w:rFonts w:cs="Times New Roman"/>
                <w:b/>
                <w:bCs/>
                <w:szCs w:val="24"/>
                <w:lang w:val="es-ES"/>
              </w:rPr>
            </w:pPr>
            <w:r w:rsidRPr="00C54BB2">
              <w:rPr>
                <w:rFonts w:cs="Times New Roman"/>
                <w:b/>
                <w:bCs/>
                <w:szCs w:val="24"/>
                <w:lang w:val="es-ES"/>
              </w:rPr>
              <w:t>Marcador</w:t>
            </w:r>
          </w:p>
        </w:tc>
        <w:tc>
          <w:tcPr>
            <w:tcW w:w="2900" w:type="dxa"/>
            <w:tcBorders>
              <w:top w:val="single" w:sz="4" w:space="0" w:color="auto"/>
              <w:bottom w:val="single" w:sz="4" w:space="0" w:color="auto"/>
            </w:tcBorders>
            <w:vAlign w:val="center"/>
            <w:hideMark/>
          </w:tcPr>
          <w:p w14:paraId="511CD0B4" w14:textId="7F15CA21" w:rsidR="009B72DF" w:rsidRPr="009B72DF" w:rsidRDefault="00C54BB2" w:rsidP="009B72DF">
            <w:pPr>
              <w:jc w:val="center"/>
              <w:rPr>
                <w:rFonts w:cs="Times New Roman"/>
                <w:b/>
                <w:bCs/>
                <w:szCs w:val="24"/>
                <w:lang w:val="es-ES"/>
              </w:rPr>
            </w:pPr>
            <w:r w:rsidRPr="00C54BB2">
              <w:rPr>
                <w:rFonts w:cs="Times New Roman"/>
                <w:b/>
                <w:bCs/>
                <w:szCs w:val="24"/>
                <w:lang w:val="es-ES"/>
              </w:rPr>
              <w:t>Casos</w:t>
            </w:r>
          </w:p>
        </w:tc>
        <w:tc>
          <w:tcPr>
            <w:tcW w:w="2885" w:type="dxa"/>
            <w:tcBorders>
              <w:top w:val="single" w:sz="4" w:space="0" w:color="auto"/>
              <w:bottom w:val="single" w:sz="4" w:space="0" w:color="auto"/>
            </w:tcBorders>
            <w:vAlign w:val="center"/>
            <w:hideMark/>
          </w:tcPr>
          <w:p w14:paraId="597F6387" w14:textId="77777777" w:rsidR="009B72DF" w:rsidRPr="009B72DF" w:rsidRDefault="009B72DF" w:rsidP="009B72DF">
            <w:pPr>
              <w:jc w:val="center"/>
              <w:rPr>
                <w:rFonts w:cs="Times New Roman"/>
                <w:b/>
                <w:bCs/>
                <w:szCs w:val="24"/>
                <w:lang w:val="es-ES"/>
              </w:rPr>
            </w:pPr>
            <w:r w:rsidRPr="009B72DF">
              <w:rPr>
                <w:rFonts w:cs="Times New Roman"/>
                <w:b/>
                <w:bCs/>
                <w:szCs w:val="24"/>
                <w:lang w:val="es-ES"/>
              </w:rPr>
              <w:t>%</w:t>
            </w:r>
          </w:p>
        </w:tc>
      </w:tr>
      <w:tr w:rsidR="009B72DF" w:rsidRPr="009B72DF" w14:paraId="53DD3240" w14:textId="77777777" w:rsidTr="009B72DF">
        <w:trPr>
          <w:tblCellSpacing w:w="15" w:type="dxa"/>
        </w:trPr>
        <w:tc>
          <w:tcPr>
            <w:tcW w:w="2884" w:type="dxa"/>
            <w:vAlign w:val="center"/>
            <w:hideMark/>
          </w:tcPr>
          <w:p w14:paraId="103AACC4" w14:textId="544D9228" w:rsidR="009B72DF" w:rsidRPr="009B72DF" w:rsidRDefault="00C54BB2" w:rsidP="009B72DF">
            <w:pPr>
              <w:jc w:val="both"/>
              <w:rPr>
                <w:rFonts w:cs="Times New Roman"/>
                <w:szCs w:val="24"/>
                <w:lang w:val="es-ES"/>
              </w:rPr>
            </w:pPr>
            <w:r w:rsidRPr="00C54BB2">
              <w:rPr>
                <w:rFonts w:cs="Times New Roman"/>
                <w:szCs w:val="24"/>
                <w:lang w:val="es-ES"/>
              </w:rPr>
              <w:t>ALT &gt; 40 U/L</w:t>
            </w:r>
          </w:p>
        </w:tc>
        <w:tc>
          <w:tcPr>
            <w:tcW w:w="2900" w:type="dxa"/>
            <w:vAlign w:val="center"/>
            <w:hideMark/>
          </w:tcPr>
          <w:p w14:paraId="36028491" w14:textId="01F85ADD" w:rsidR="009B72DF" w:rsidRPr="009B72DF" w:rsidRDefault="00C54BB2" w:rsidP="009B72DF">
            <w:pPr>
              <w:jc w:val="center"/>
              <w:rPr>
                <w:rFonts w:cs="Times New Roman"/>
                <w:szCs w:val="24"/>
                <w:lang w:val="es-ES"/>
              </w:rPr>
            </w:pPr>
            <w:r>
              <w:rPr>
                <w:rFonts w:cs="Times New Roman"/>
                <w:szCs w:val="24"/>
                <w:lang w:val="es-ES"/>
              </w:rPr>
              <w:t>3</w:t>
            </w:r>
          </w:p>
        </w:tc>
        <w:tc>
          <w:tcPr>
            <w:tcW w:w="2885" w:type="dxa"/>
            <w:vAlign w:val="center"/>
            <w:hideMark/>
          </w:tcPr>
          <w:p w14:paraId="19A46C58" w14:textId="2DEE19D7" w:rsidR="009B72DF" w:rsidRPr="009B72DF" w:rsidRDefault="00C54BB2" w:rsidP="009B72DF">
            <w:pPr>
              <w:jc w:val="center"/>
              <w:rPr>
                <w:rFonts w:cs="Times New Roman"/>
                <w:szCs w:val="24"/>
                <w:lang w:val="es-ES"/>
              </w:rPr>
            </w:pPr>
            <w:r>
              <w:rPr>
                <w:rFonts w:cs="Times New Roman"/>
                <w:szCs w:val="24"/>
                <w:lang w:val="es-ES"/>
              </w:rPr>
              <w:t>7</w:t>
            </w:r>
            <w:r>
              <w:rPr>
                <w:szCs w:val="24"/>
                <w:lang w:val="es-ES"/>
              </w:rPr>
              <w:t>,9</w:t>
            </w:r>
          </w:p>
        </w:tc>
      </w:tr>
      <w:tr w:rsidR="009B72DF" w:rsidRPr="009B72DF" w14:paraId="66750262" w14:textId="77777777" w:rsidTr="009B72DF">
        <w:trPr>
          <w:tblCellSpacing w:w="15" w:type="dxa"/>
        </w:trPr>
        <w:tc>
          <w:tcPr>
            <w:tcW w:w="2884" w:type="dxa"/>
            <w:vAlign w:val="center"/>
            <w:hideMark/>
          </w:tcPr>
          <w:p w14:paraId="67DDA99F" w14:textId="3E626E9C" w:rsidR="009B72DF" w:rsidRPr="009B72DF" w:rsidRDefault="00C54BB2" w:rsidP="009B72DF">
            <w:pPr>
              <w:jc w:val="both"/>
              <w:rPr>
                <w:rFonts w:cs="Times New Roman"/>
                <w:szCs w:val="24"/>
                <w:lang w:val="es-ES"/>
              </w:rPr>
            </w:pPr>
            <w:r w:rsidRPr="00C54BB2">
              <w:rPr>
                <w:rFonts w:cs="Times New Roman"/>
                <w:szCs w:val="24"/>
                <w:lang w:val="es-ES"/>
              </w:rPr>
              <w:t>AST &gt; 40 U/L</w:t>
            </w:r>
          </w:p>
        </w:tc>
        <w:tc>
          <w:tcPr>
            <w:tcW w:w="2900" w:type="dxa"/>
            <w:vAlign w:val="center"/>
            <w:hideMark/>
          </w:tcPr>
          <w:p w14:paraId="3DC139F0" w14:textId="2FC281F7" w:rsidR="009B72DF" w:rsidRPr="009B72DF" w:rsidRDefault="00C54BB2" w:rsidP="009B72DF">
            <w:pPr>
              <w:jc w:val="center"/>
              <w:rPr>
                <w:rFonts w:cs="Times New Roman"/>
                <w:szCs w:val="24"/>
                <w:lang w:val="es-ES"/>
              </w:rPr>
            </w:pPr>
            <w:r>
              <w:rPr>
                <w:rFonts w:cs="Times New Roman"/>
                <w:szCs w:val="24"/>
                <w:lang w:val="es-ES"/>
              </w:rPr>
              <w:t>2</w:t>
            </w:r>
          </w:p>
        </w:tc>
        <w:tc>
          <w:tcPr>
            <w:tcW w:w="2885" w:type="dxa"/>
            <w:vAlign w:val="center"/>
            <w:hideMark/>
          </w:tcPr>
          <w:p w14:paraId="38D88BB9" w14:textId="221F98DE" w:rsidR="009B72DF" w:rsidRPr="009B72DF" w:rsidRDefault="00C54BB2" w:rsidP="009B72DF">
            <w:pPr>
              <w:jc w:val="center"/>
              <w:rPr>
                <w:rFonts w:cs="Times New Roman"/>
                <w:szCs w:val="24"/>
                <w:lang w:val="es-ES"/>
              </w:rPr>
            </w:pPr>
            <w:r>
              <w:rPr>
                <w:rFonts w:cs="Times New Roman"/>
                <w:szCs w:val="24"/>
                <w:lang w:val="es-ES"/>
              </w:rPr>
              <w:t>5</w:t>
            </w:r>
            <w:r>
              <w:rPr>
                <w:szCs w:val="24"/>
                <w:lang w:val="es-ES"/>
              </w:rPr>
              <w:t>,3</w:t>
            </w:r>
          </w:p>
        </w:tc>
      </w:tr>
    </w:tbl>
    <w:p w14:paraId="3E588B0B" w14:textId="77777777" w:rsidR="009B72DF" w:rsidRDefault="009B72DF" w:rsidP="009B72DF">
      <w:pPr>
        <w:jc w:val="both"/>
        <w:rPr>
          <w:rFonts w:cs="Times New Roman"/>
          <w:szCs w:val="24"/>
          <w:lang w:val="es-MX"/>
        </w:rPr>
      </w:pPr>
    </w:p>
    <w:p w14:paraId="360D01FC" w14:textId="77777777" w:rsidR="0057759B" w:rsidRPr="0057759B" w:rsidRDefault="0057759B" w:rsidP="0057759B">
      <w:pPr>
        <w:jc w:val="both"/>
        <w:rPr>
          <w:rFonts w:cs="Times New Roman"/>
          <w:b/>
          <w:bCs/>
          <w:szCs w:val="24"/>
          <w:lang w:val="es-MX"/>
        </w:rPr>
      </w:pPr>
      <w:r w:rsidRPr="0057759B">
        <w:rPr>
          <w:rFonts w:cs="Times New Roman"/>
          <w:b/>
          <w:bCs/>
          <w:szCs w:val="24"/>
          <w:lang w:val="es-MX"/>
        </w:rPr>
        <w:t>TABLA 4</w:t>
      </w:r>
    </w:p>
    <w:p w14:paraId="44139A2F" w14:textId="495D9286" w:rsidR="0057759B" w:rsidRPr="0057759B" w:rsidRDefault="0057759B" w:rsidP="0057759B">
      <w:pPr>
        <w:jc w:val="both"/>
        <w:rPr>
          <w:rFonts w:cs="Times New Roman"/>
          <w:i/>
          <w:iCs/>
          <w:szCs w:val="24"/>
          <w:lang w:val="es-MX"/>
        </w:rPr>
      </w:pPr>
      <w:r w:rsidRPr="0057759B">
        <w:rPr>
          <w:rFonts w:cs="Times New Roman"/>
          <w:i/>
          <w:iCs/>
          <w:szCs w:val="24"/>
          <w:lang w:val="es-MX"/>
        </w:rPr>
        <w:t>Clasificación de ALT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2930"/>
        <w:gridCol w:w="2930"/>
      </w:tblGrid>
      <w:tr w:rsidR="0057759B" w:rsidRPr="0057759B" w14:paraId="5C7A5149" w14:textId="77777777" w:rsidTr="0057759B">
        <w:trPr>
          <w:tblHeader/>
          <w:tblCellSpacing w:w="15" w:type="dxa"/>
        </w:trPr>
        <w:tc>
          <w:tcPr>
            <w:tcW w:w="2884" w:type="dxa"/>
            <w:tcBorders>
              <w:top w:val="single" w:sz="4" w:space="0" w:color="auto"/>
              <w:bottom w:val="single" w:sz="4" w:space="0" w:color="auto"/>
            </w:tcBorders>
            <w:vAlign w:val="center"/>
            <w:hideMark/>
          </w:tcPr>
          <w:p w14:paraId="34F14237" w14:textId="77777777" w:rsidR="0057759B" w:rsidRPr="0057759B" w:rsidRDefault="0057759B" w:rsidP="0057759B">
            <w:pPr>
              <w:jc w:val="center"/>
              <w:rPr>
                <w:rFonts w:cs="Times New Roman"/>
                <w:b/>
                <w:bCs/>
                <w:szCs w:val="24"/>
                <w:lang w:val="es-ES"/>
              </w:rPr>
            </w:pPr>
            <w:r w:rsidRPr="0057759B">
              <w:rPr>
                <w:rFonts w:cs="Times New Roman"/>
                <w:b/>
                <w:bCs/>
                <w:szCs w:val="24"/>
                <w:lang w:val="es-ES"/>
              </w:rPr>
              <w:t>ALT</w:t>
            </w:r>
          </w:p>
        </w:tc>
        <w:tc>
          <w:tcPr>
            <w:tcW w:w="2900" w:type="dxa"/>
            <w:tcBorders>
              <w:top w:val="single" w:sz="4" w:space="0" w:color="auto"/>
              <w:bottom w:val="single" w:sz="4" w:space="0" w:color="auto"/>
            </w:tcBorders>
            <w:vAlign w:val="center"/>
            <w:hideMark/>
          </w:tcPr>
          <w:p w14:paraId="26860BFA" w14:textId="77777777" w:rsidR="0057759B" w:rsidRPr="0057759B" w:rsidRDefault="0057759B" w:rsidP="0057759B">
            <w:pPr>
              <w:jc w:val="center"/>
              <w:rPr>
                <w:rFonts w:cs="Times New Roman"/>
                <w:b/>
                <w:bCs/>
                <w:szCs w:val="24"/>
                <w:lang w:val="es-ES"/>
              </w:rPr>
            </w:pPr>
            <w:r w:rsidRPr="0057759B">
              <w:rPr>
                <w:rFonts w:cs="Times New Roman"/>
                <w:b/>
                <w:bCs/>
                <w:szCs w:val="24"/>
                <w:lang w:val="es-ES"/>
              </w:rPr>
              <w:t>n</w:t>
            </w:r>
          </w:p>
        </w:tc>
        <w:tc>
          <w:tcPr>
            <w:tcW w:w="2885" w:type="dxa"/>
            <w:tcBorders>
              <w:top w:val="single" w:sz="4" w:space="0" w:color="auto"/>
              <w:bottom w:val="single" w:sz="4" w:space="0" w:color="auto"/>
            </w:tcBorders>
            <w:vAlign w:val="center"/>
            <w:hideMark/>
          </w:tcPr>
          <w:p w14:paraId="7F86410B" w14:textId="77777777" w:rsidR="0057759B" w:rsidRPr="0057759B" w:rsidRDefault="0057759B" w:rsidP="0057759B">
            <w:pPr>
              <w:jc w:val="center"/>
              <w:rPr>
                <w:rFonts w:cs="Times New Roman"/>
                <w:b/>
                <w:bCs/>
                <w:szCs w:val="24"/>
                <w:lang w:val="es-ES"/>
              </w:rPr>
            </w:pPr>
            <w:r w:rsidRPr="0057759B">
              <w:rPr>
                <w:rFonts w:cs="Times New Roman"/>
                <w:b/>
                <w:bCs/>
                <w:szCs w:val="24"/>
                <w:lang w:val="es-ES"/>
              </w:rPr>
              <w:t>%</w:t>
            </w:r>
          </w:p>
        </w:tc>
      </w:tr>
      <w:tr w:rsidR="0057759B" w:rsidRPr="0057759B" w14:paraId="7A7929E8" w14:textId="77777777" w:rsidTr="0057759B">
        <w:trPr>
          <w:tblCellSpacing w:w="15" w:type="dxa"/>
        </w:trPr>
        <w:tc>
          <w:tcPr>
            <w:tcW w:w="2884" w:type="dxa"/>
            <w:vAlign w:val="center"/>
            <w:hideMark/>
          </w:tcPr>
          <w:p w14:paraId="5B8D34F6" w14:textId="77777777" w:rsidR="0057759B" w:rsidRPr="0057759B" w:rsidRDefault="0057759B" w:rsidP="0057759B">
            <w:pPr>
              <w:jc w:val="both"/>
              <w:rPr>
                <w:rFonts w:cs="Times New Roman"/>
                <w:szCs w:val="24"/>
                <w:lang w:val="es-ES"/>
              </w:rPr>
            </w:pPr>
            <w:r w:rsidRPr="0057759B">
              <w:rPr>
                <w:rFonts w:cs="Times New Roman"/>
                <w:szCs w:val="24"/>
                <w:lang w:val="es-ES"/>
              </w:rPr>
              <w:t>Normal</w:t>
            </w:r>
          </w:p>
        </w:tc>
        <w:tc>
          <w:tcPr>
            <w:tcW w:w="2900" w:type="dxa"/>
            <w:vAlign w:val="center"/>
            <w:hideMark/>
          </w:tcPr>
          <w:p w14:paraId="53359A3B" w14:textId="77777777" w:rsidR="0057759B" w:rsidRPr="0057759B" w:rsidRDefault="0057759B" w:rsidP="0057759B">
            <w:pPr>
              <w:jc w:val="center"/>
              <w:rPr>
                <w:rFonts w:cs="Times New Roman"/>
                <w:szCs w:val="24"/>
                <w:lang w:val="es-ES"/>
              </w:rPr>
            </w:pPr>
            <w:r w:rsidRPr="0057759B">
              <w:rPr>
                <w:rFonts w:cs="Times New Roman"/>
                <w:szCs w:val="24"/>
                <w:lang w:val="es-ES"/>
              </w:rPr>
              <w:t>35</w:t>
            </w:r>
          </w:p>
        </w:tc>
        <w:tc>
          <w:tcPr>
            <w:tcW w:w="2885" w:type="dxa"/>
            <w:vAlign w:val="center"/>
            <w:hideMark/>
          </w:tcPr>
          <w:p w14:paraId="4A6AB39B" w14:textId="77777777" w:rsidR="0057759B" w:rsidRPr="0057759B" w:rsidRDefault="0057759B" w:rsidP="0057759B">
            <w:pPr>
              <w:jc w:val="center"/>
              <w:rPr>
                <w:rFonts w:cs="Times New Roman"/>
                <w:szCs w:val="24"/>
                <w:lang w:val="es-ES"/>
              </w:rPr>
            </w:pPr>
            <w:r w:rsidRPr="0057759B">
              <w:rPr>
                <w:rFonts w:cs="Times New Roman"/>
                <w:szCs w:val="24"/>
                <w:lang w:val="es-ES"/>
              </w:rPr>
              <w:t>92,1</w:t>
            </w:r>
          </w:p>
        </w:tc>
      </w:tr>
      <w:tr w:rsidR="0057759B" w:rsidRPr="0057759B" w14:paraId="66EBE84D" w14:textId="77777777" w:rsidTr="0057759B">
        <w:trPr>
          <w:tblCellSpacing w:w="15" w:type="dxa"/>
        </w:trPr>
        <w:tc>
          <w:tcPr>
            <w:tcW w:w="2884" w:type="dxa"/>
            <w:tcBorders>
              <w:bottom w:val="single" w:sz="4" w:space="0" w:color="auto"/>
            </w:tcBorders>
            <w:vAlign w:val="center"/>
            <w:hideMark/>
          </w:tcPr>
          <w:p w14:paraId="15499901" w14:textId="77777777" w:rsidR="0057759B" w:rsidRPr="0057759B" w:rsidRDefault="0057759B" w:rsidP="0057759B">
            <w:pPr>
              <w:jc w:val="both"/>
              <w:rPr>
                <w:rFonts w:cs="Times New Roman"/>
                <w:szCs w:val="24"/>
                <w:lang w:val="es-ES"/>
              </w:rPr>
            </w:pPr>
            <w:r w:rsidRPr="0057759B">
              <w:rPr>
                <w:rFonts w:cs="Times New Roman"/>
                <w:szCs w:val="24"/>
                <w:lang w:val="es-ES"/>
              </w:rPr>
              <w:t>Elevada</w:t>
            </w:r>
          </w:p>
        </w:tc>
        <w:tc>
          <w:tcPr>
            <w:tcW w:w="2900" w:type="dxa"/>
            <w:tcBorders>
              <w:bottom w:val="single" w:sz="4" w:space="0" w:color="auto"/>
            </w:tcBorders>
            <w:vAlign w:val="center"/>
            <w:hideMark/>
          </w:tcPr>
          <w:p w14:paraId="437F683F" w14:textId="77777777" w:rsidR="0057759B" w:rsidRPr="0057759B" w:rsidRDefault="0057759B" w:rsidP="0057759B">
            <w:pPr>
              <w:jc w:val="center"/>
              <w:rPr>
                <w:rFonts w:cs="Times New Roman"/>
                <w:szCs w:val="24"/>
                <w:lang w:val="es-ES"/>
              </w:rPr>
            </w:pPr>
            <w:r w:rsidRPr="0057759B">
              <w:rPr>
                <w:rFonts w:cs="Times New Roman"/>
                <w:szCs w:val="24"/>
                <w:lang w:val="es-ES"/>
              </w:rPr>
              <w:t>3</w:t>
            </w:r>
          </w:p>
        </w:tc>
        <w:tc>
          <w:tcPr>
            <w:tcW w:w="2885" w:type="dxa"/>
            <w:tcBorders>
              <w:bottom w:val="single" w:sz="4" w:space="0" w:color="auto"/>
            </w:tcBorders>
            <w:vAlign w:val="center"/>
            <w:hideMark/>
          </w:tcPr>
          <w:p w14:paraId="09CF0B29" w14:textId="77777777" w:rsidR="0057759B" w:rsidRPr="0057759B" w:rsidRDefault="0057759B" w:rsidP="0057759B">
            <w:pPr>
              <w:jc w:val="center"/>
              <w:rPr>
                <w:rFonts w:cs="Times New Roman"/>
                <w:szCs w:val="24"/>
                <w:lang w:val="es-ES"/>
              </w:rPr>
            </w:pPr>
            <w:r w:rsidRPr="0057759B">
              <w:rPr>
                <w:rFonts w:cs="Times New Roman"/>
                <w:szCs w:val="24"/>
                <w:lang w:val="es-ES"/>
              </w:rPr>
              <w:t>7,9</w:t>
            </w:r>
          </w:p>
        </w:tc>
      </w:tr>
    </w:tbl>
    <w:p w14:paraId="7722B2AF" w14:textId="77777777" w:rsidR="0057759B" w:rsidRDefault="0057759B" w:rsidP="0057759B">
      <w:pPr>
        <w:jc w:val="both"/>
        <w:rPr>
          <w:rFonts w:cs="Times New Roman"/>
          <w:szCs w:val="24"/>
          <w:lang w:val="es-MX"/>
        </w:rPr>
      </w:pPr>
    </w:p>
    <w:p w14:paraId="40203B14" w14:textId="77777777" w:rsidR="0057759B" w:rsidRPr="0057759B" w:rsidRDefault="0057759B" w:rsidP="0057759B">
      <w:pPr>
        <w:jc w:val="both"/>
        <w:rPr>
          <w:rFonts w:cs="Times New Roman"/>
          <w:b/>
          <w:bCs/>
          <w:szCs w:val="24"/>
          <w:lang w:val="es-MX"/>
        </w:rPr>
      </w:pPr>
      <w:r w:rsidRPr="0057759B">
        <w:rPr>
          <w:rFonts w:cs="Times New Roman"/>
          <w:b/>
          <w:bCs/>
          <w:szCs w:val="24"/>
          <w:lang w:val="es-MX"/>
        </w:rPr>
        <w:t>TABLA 5</w:t>
      </w:r>
    </w:p>
    <w:p w14:paraId="3E23D6A9" w14:textId="73228E46" w:rsidR="0057759B" w:rsidRPr="0057759B" w:rsidRDefault="0057759B" w:rsidP="0057759B">
      <w:pPr>
        <w:jc w:val="both"/>
        <w:rPr>
          <w:rFonts w:cs="Times New Roman"/>
          <w:i/>
          <w:iCs/>
          <w:szCs w:val="24"/>
          <w:lang w:val="es-MX"/>
        </w:rPr>
      </w:pPr>
      <w:r w:rsidRPr="0057759B">
        <w:rPr>
          <w:rFonts w:cs="Times New Roman"/>
          <w:i/>
          <w:iCs/>
          <w:szCs w:val="24"/>
          <w:lang w:val="es-MX"/>
        </w:rPr>
        <w:t>Clasificación de AST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929"/>
        <w:gridCol w:w="2930"/>
        <w:gridCol w:w="2930"/>
      </w:tblGrid>
      <w:tr w:rsidR="0057759B" w:rsidRPr="0057759B" w14:paraId="08A9EEA8" w14:textId="77777777" w:rsidTr="0057759B">
        <w:trPr>
          <w:tblHeader/>
          <w:tblCellSpacing w:w="15" w:type="dxa"/>
        </w:trPr>
        <w:tc>
          <w:tcPr>
            <w:tcW w:w="2884" w:type="dxa"/>
            <w:tcBorders>
              <w:top w:val="single" w:sz="4" w:space="0" w:color="auto"/>
              <w:bottom w:val="single" w:sz="4" w:space="0" w:color="auto"/>
            </w:tcBorders>
            <w:vAlign w:val="center"/>
            <w:hideMark/>
          </w:tcPr>
          <w:p w14:paraId="0E77D741" w14:textId="77777777" w:rsidR="0057759B" w:rsidRPr="0057759B" w:rsidRDefault="0057759B" w:rsidP="0057759B">
            <w:pPr>
              <w:jc w:val="center"/>
              <w:rPr>
                <w:rFonts w:cs="Times New Roman"/>
                <w:b/>
                <w:bCs/>
                <w:szCs w:val="24"/>
                <w:lang w:val="es-ES"/>
              </w:rPr>
            </w:pPr>
            <w:r w:rsidRPr="0057759B">
              <w:rPr>
                <w:rFonts w:cs="Times New Roman"/>
                <w:b/>
                <w:bCs/>
                <w:szCs w:val="24"/>
                <w:lang w:val="es-ES"/>
              </w:rPr>
              <w:t>AST</w:t>
            </w:r>
          </w:p>
        </w:tc>
        <w:tc>
          <w:tcPr>
            <w:tcW w:w="2900" w:type="dxa"/>
            <w:tcBorders>
              <w:top w:val="single" w:sz="4" w:space="0" w:color="auto"/>
              <w:bottom w:val="single" w:sz="4" w:space="0" w:color="auto"/>
            </w:tcBorders>
            <w:vAlign w:val="center"/>
            <w:hideMark/>
          </w:tcPr>
          <w:p w14:paraId="26898E57" w14:textId="77777777" w:rsidR="0057759B" w:rsidRPr="0057759B" w:rsidRDefault="0057759B" w:rsidP="0057759B">
            <w:pPr>
              <w:jc w:val="center"/>
              <w:rPr>
                <w:rFonts w:cs="Times New Roman"/>
                <w:b/>
                <w:bCs/>
                <w:szCs w:val="24"/>
                <w:lang w:val="es-ES"/>
              </w:rPr>
            </w:pPr>
            <w:r w:rsidRPr="0057759B">
              <w:rPr>
                <w:rFonts w:cs="Times New Roman"/>
                <w:b/>
                <w:bCs/>
                <w:szCs w:val="24"/>
                <w:lang w:val="es-ES"/>
              </w:rPr>
              <w:t>n</w:t>
            </w:r>
          </w:p>
        </w:tc>
        <w:tc>
          <w:tcPr>
            <w:tcW w:w="2885" w:type="dxa"/>
            <w:tcBorders>
              <w:top w:val="single" w:sz="4" w:space="0" w:color="auto"/>
              <w:bottom w:val="single" w:sz="4" w:space="0" w:color="auto"/>
            </w:tcBorders>
            <w:vAlign w:val="center"/>
            <w:hideMark/>
          </w:tcPr>
          <w:p w14:paraId="06265C27" w14:textId="77777777" w:rsidR="0057759B" w:rsidRPr="0057759B" w:rsidRDefault="0057759B" w:rsidP="0057759B">
            <w:pPr>
              <w:jc w:val="center"/>
              <w:rPr>
                <w:rFonts w:cs="Times New Roman"/>
                <w:b/>
                <w:bCs/>
                <w:szCs w:val="24"/>
                <w:lang w:val="es-ES"/>
              </w:rPr>
            </w:pPr>
            <w:r w:rsidRPr="0057759B">
              <w:rPr>
                <w:rFonts w:cs="Times New Roman"/>
                <w:b/>
                <w:bCs/>
                <w:szCs w:val="24"/>
                <w:lang w:val="es-ES"/>
              </w:rPr>
              <w:t>%</w:t>
            </w:r>
          </w:p>
        </w:tc>
      </w:tr>
      <w:tr w:rsidR="0057759B" w:rsidRPr="0057759B" w14:paraId="3978CB12" w14:textId="77777777" w:rsidTr="0057759B">
        <w:trPr>
          <w:tblCellSpacing w:w="15" w:type="dxa"/>
        </w:trPr>
        <w:tc>
          <w:tcPr>
            <w:tcW w:w="2884" w:type="dxa"/>
            <w:vAlign w:val="center"/>
            <w:hideMark/>
          </w:tcPr>
          <w:p w14:paraId="7A355621" w14:textId="77777777" w:rsidR="0057759B" w:rsidRPr="0057759B" w:rsidRDefault="0057759B" w:rsidP="0057759B">
            <w:pPr>
              <w:jc w:val="both"/>
              <w:rPr>
                <w:rFonts w:cs="Times New Roman"/>
                <w:szCs w:val="24"/>
                <w:lang w:val="es-ES"/>
              </w:rPr>
            </w:pPr>
            <w:r w:rsidRPr="0057759B">
              <w:rPr>
                <w:rFonts w:cs="Times New Roman"/>
                <w:szCs w:val="24"/>
                <w:lang w:val="es-ES"/>
              </w:rPr>
              <w:t>Normal</w:t>
            </w:r>
          </w:p>
        </w:tc>
        <w:tc>
          <w:tcPr>
            <w:tcW w:w="2900" w:type="dxa"/>
            <w:vAlign w:val="center"/>
            <w:hideMark/>
          </w:tcPr>
          <w:p w14:paraId="6B362B8B" w14:textId="77777777" w:rsidR="0057759B" w:rsidRPr="0057759B" w:rsidRDefault="0057759B" w:rsidP="0057759B">
            <w:pPr>
              <w:jc w:val="center"/>
              <w:rPr>
                <w:rFonts w:cs="Times New Roman"/>
                <w:szCs w:val="24"/>
                <w:lang w:val="es-ES"/>
              </w:rPr>
            </w:pPr>
            <w:r w:rsidRPr="0057759B">
              <w:rPr>
                <w:rFonts w:cs="Times New Roman"/>
                <w:szCs w:val="24"/>
                <w:lang w:val="es-ES"/>
              </w:rPr>
              <w:t>36</w:t>
            </w:r>
          </w:p>
        </w:tc>
        <w:tc>
          <w:tcPr>
            <w:tcW w:w="2885" w:type="dxa"/>
            <w:vAlign w:val="center"/>
            <w:hideMark/>
          </w:tcPr>
          <w:p w14:paraId="18316192" w14:textId="77777777" w:rsidR="0057759B" w:rsidRPr="0057759B" w:rsidRDefault="0057759B" w:rsidP="0057759B">
            <w:pPr>
              <w:jc w:val="center"/>
              <w:rPr>
                <w:rFonts w:cs="Times New Roman"/>
                <w:szCs w:val="24"/>
                <w:lang w:val="es-ES"/>
              </w:rPr>
            </w:pPr>
            <w:r w:rsidRPr="0057759B">
              <w:rPr>
                <w:rFonts w:cs="Times New Roman"/>
                <w:szCs w:val="24"/>
                <w:lang w:val="es-ES"/>
              </w:rPr>
              <w:t>94,7</w:t>
            </w:r>
          </w:p>
        </w:tc>
      </w:tr>
      <w:tr w:rsidR="0057759B" w:rsidRPr="0057759B" w14:paraId="40BB1DBC" w14:textId="77777777" w:rsidTr="0057759B">
        <w:trPr>
          <w:tblCellSpacing w:w="15" w:type="dxa"/>
        </w:trPr>
        <w:tc>
          <w:tcPr>
            <w:tcW w:w="2884" w:type="dxa"/>
            <w:tcBorders>
              <w:bottom w:val="single" w:sz="4" w:space="0" w:color="auto"/>
            </w:tcBorders>
            <w:vAlign w:val="center"/>
            <w:hideMark/>
          </w:tcPr>
          <w:p w14:paraId="6A1351BF" w14:textId="77777777" w:rsidR="0057759B" w:rsidRPr="0057759B" w:rsidRDefault="0057759B" w:rsidP="0057759B">
            <w:pPr>
              <w:jc w:val="both"/>
              <w:rPr>
                <w:rFonts w:cs="Times New Roman"/>
                <w:szCs w:val="24"/>
                <w:lang w:val="es-ES"/>
              </w:rPr>
            </w:pPr>
            <w:r w:rsidRPr="0057759B">
              <w:rPr>
                <w:rFonts w:cs="Times New Roman"/>
                <w:szCs w:val="24"/>
                <w:lang w:val="es-ES"/>
              </w:rPr>
              <w:t>Elevada</w:t>
            </w:r>
          </w:p>
        </w:tc>
        <w:tc>
          <w:tcPr>
            <w:tcW w:w="2900" w:type="dxa"/>
            <w:tcBorders>
              <w:bottom w:val="single" w:sz="4" w:space="0" w:color="auto"/>
            </w:tcBorders>
            <w:vAlign w:val="center"/>
            <w:hideMark/>
          </w:tcPr>
          <w:p w14:paraId="0233EEEC" w14:textId="77777777" w:rsidR="0057759B" w:rsidRPr="0057759B" w:rsidRDefault="0057759B" w:rsidP="0057759B">
            <w:pPr>
              <w:jc w:val="center"/>
              <w:rPr>
                <w:rFonts w:cs="Times New Roman"/>
                <w:szCs w:val="24"/>
                <w:lang w:val="es-ES"/>
              </w:rPr>
            </w:pPr>
            <w:r w:rsidRPr="0057759B">
              <w:rPr>
                <w:rFonts w:cs="Times New Roman"/>
                <w:szCs w:val="24"/>
                <w:lang w:val="es-ES"/>
              </w:rPr>
              <w:t>2</w:t>
            </w:r>
          </w:p>
        </w:tc>
        <w:tc>
          <w:tcPr>
            <w:tcW w:w="2885" w:type="dxa"/>
            <w:tcBorders>
              <w:bottom w:val="single" w:sz="4" w:space="0" w:color="auto"/>
            </w:tcBorders>
            <w:vAlign w:val="center"/>
            <w:hideMark/>
          </w:tcPr>
          <w:p w14:paraId="1D6181BE" w14:textId="77777777" w:rsidR="0057759B" w:rsidRPr="0057759B" w:rsidRDefault="0057759B" w:rsidP="0057759B">
            <w:pPr>
              <w:jc w:val="center"/>
              <w:rPr>
                <w:rFonts w:cs="Times New Roman"/>
                <w:szCs w:val="24"/>
                <w:lang w:val="es-ES"/>
              </w:rPr>
            </w:pPr>
            <w:r w:rsidRPr="0057759B">
              <w:rPr>
                <w:rFonts w:cs="Times New Roman"/>
                <w:szCs w:val="24"/>
                <w:lang w:val="es-ES"/>
              </w:rPr>
              <w:t>5,3</w:t>
            </w:r>
          </w:p>
        </w:tc>
      </w:tr>
    </w:tbl>
    <w:p w14:paraId="46226E6A" w14:textId="77777777" w:rsidR="0057759B" w:rsidRDefault="0057759B" w:rsidP="0057759B">
      <w:pPr>
        <w:jc w:val="both"/>
        <w:rPr>
          <w:rFonts w:cs="Times New Roman"/>
          <w:szCs w:val="24"/>
          <w:lang w:val="es-MX"/>
        </w:rPr>
      </w:pPr>
    </w:p>
    <w:p w14:paraId="47042E41" w14:textId="77777777" w:rsidR="0057759B" w:rsidRDefault="0057759B" w:rsidP="0057759B">
      <w:pPr>
        <w:jc w:val="both"/>
        <w:rPr>
          <w:rFonts w:cs="Times New Roman"/>
          <w:szCs w:val="24"/>
          <w:lang w:val="es-MX"/>
        </w:rPr>
      </w:pPr>
    </w:p>
    <w:p w14:paraId="587217C7" w14:textId="0E6EF001" w:rsidR="00366307" w:rsidRPr="00930D69" w:rsidRDefault="00AD5F74" w:rsidP="009B72DF">
      <w:pPr>
        <w:jc w:val="both"/>
        <w:rPr>
          <w:rFonts w:cs="Times New Roman"/>
          <w:b/>
          <w:sz w:val="28"/>
          <w:szCs w:val="28"/>
        </w:rPr>
      </w:pPr>
      <w:r>
        <w:rPr>
          <w:rFonts w:cs="Times New Roman"/>
          <w:b/>
          <w:sz w:val="28"/>
          <w:szCs w:val="28"/>
          <w:lang w:val="es-MX"/>
        </w:rPr>
        <w:t>4</w:t>
      </w:r>
      <w:r w:rsidR="00366307" w:rsidRPr="00930D69">
        <w:rPr>
          <w:rFonts w:cs="Times New Roman"/>
          <w:b/>
          <w:sz w:val="28"/>
          <w:szCs w:val="28"/>
        </w:rPr>
        <w:t>. DISCUSIÓN</w:t>
      </w:r>
    </w:p>
    <w:p w14:paraId="2F81AAB3" w14:textId="77777777" w:rsidR="009B72DF" w:rsidRPr="009B72DF" w:rsidRDefault="009B72DF" w:rsidP="009B72DF">
      <w:pPr>
        <w:jc w:val="both"/>
        <w:rPr>
          <w:rFonts w:cs="Times New Roman"/>
          <w:szCs w:val="24"/>
        </w:rPr>
      </w:pPr>
      <w:r w:rsidRPr="009B72DF">
        <w:rPr>
          <w:rFonts w:cs="Times New Roman"/>
          <w:szCs w:val="24"/>
        </w:rPr>
        <w:t xml:space="preserve">Los resultados de la presente investigación evidencian que una proporción de estudiantes de Medicina con peso normal presentó elevación de transaminasas, específicamente ALT superior a 40 U/L en el 7,9 % y AST superior a 40 U/L en el 5,3 % de los registros bioquímicos completos. Este hallazgo resulta relevante porque confirma que la ausencia de </w:t>
      </w:r>
      <w:r w:rsidRPr="009B72DF">
        <w:rPr>
          <w:rFonts w:cs="Times New Roman"/>
          <w:szCs w:val="24"/>
        </w:rPr>
        <w:lastRenderedPageBreak/>
        <w:t xml:space="preserve">sobrepeso u obesidad no excluye la presencia de alteraciones bioquímicas hepáticas compatibles con sospecha de enfermedad hepática </w:t>
      </w:r>
      <w:proofErr w:type="spellStart"/>
      <w:r w:rsidRPr="009B72DF">
        <w:rPr>
          <w:rFonts w:cs="Times New Roman"/>
          <w:szCs w:val="24"/>
        </w:rPr>
        <w:t>esteatósica</w:t>
      </w:r>
      <w:proofErr w:type="spellEnd"/>
      <w:r w:rsidRPr="009B72DF">
        <w:rPr>
          <w:rFonts w:cs="Times New Roman"/>
          <w:szCs w:val="24"/>
        </w:rPr>
        <w:t xml:space="preserve"> asociada a disfunción metabólica (MAFLD).</w:t>
      </w:r>
    </w:p>
    <w:p w14:paraId="353A1CD2" w14:textId="77777777" w:rsidR="009B72DF" w:rsidRPr="009B72DF" w:rsidRDefault="009B72DF" w:rsidP="009B72DF">
      <w:pPr>
        <w:jc w:val="both"/>
        <w:rPr>
          <w:rFonts w:cs="Times New Roman"/>
          <w:szCs w:val="24"/>
        </w:rPr>
      </w:pPr>
      <w:r w:rsidRPr="009B72DF">
        <w:rPr>
          <w:rFonts w:cs="Times New Roman"/>
          <w:szCs w:val="24"/>
        </w:rPr>
        <w:t>La media de ALT fue de 20,37 ± 13,53 U/L y la media de AST fue de 25,50 ± 7,44 U/L, valores que, en términos generales, se mantuvieron dentro de rangos aceptables para la mayoría de participantes. No obstante, la presencia de casos con elevación de transaminasas en una muestra conformada exclusivamente por estudiantes con IMC normal sugiere la existencia de un subgrupo con posible daño hepatocelular incipiente. Este resultado es coherente con la literatura reciente sobre el fenotipo denominado lean MAFLD o MAFLD en individuos no obesos, en el cual se ha descrito la presencia de alteraciones hepáticas metabólicas incluso en sujetos sin exceso ponderal evidente.</w:t>
      </w:r>
    </w:p>
    <w:p w14:paraId="1F7359E7" w14:textId="77777777" w:rsidR="009B72DF" w:rsidRPr="009B72DF" w:rsidRDefault="009B72DF" w:rsidP="009B72DF">
      <w:pPr>
        <w:jc w:val="both"/>
        <w:rPr>
          <w:rFonts w:cs="Times New Roman"/>
          <w:szCs w:val="24"/>
        </w:rPr>
      </w:pPr>
      <w:r w:rsidRPr="009B72DF">
        <w:rPr>
          <w:rFonts w:cs="Times New Roman"/>
          <w:szCs w:val="24"/>
        </w:rPr>
        <w:t>Estos hallazgos adquieren importancia clínica porque los programas de tamizaje suelen concentrarse en personas con obesidad, diabetes mellitus tipo 2 o síndrome metabólico. Sin embargo, el IMC no refleja necesariamente la distribución de grasa corporal ni la adiposidad visceral, factores que pueden contribuir a resistencia a la insulina, inflamación metabólica y acumulación de grasa hepática. Por tanto, un estudiante con peso normal podría presentar riesgo metabólico subclínico si mantiene hábitos asociados con sedentarismo, alimentación irregular, estrés académico o sueño insuficiente.</w:t>
      </w:r>
    </w:p>
    <w:p w14:paraId="42EB9E9D" w14:textId="77777777" w:rsidR="009B72DF" w:rsidRPr="009B72DF" w:rsidRDefault="009B72DF" w:rsidP="009B72DF">
      <w:pPr>
        <w:jc w:val="both"/>
        <w:rPr>
          <w:rFonts w:cs="Times New Roman"/>
          <w:szCs w:val="24"/>
        </w:rPr>
      </w:pPr>
      <w:r w:rsidRPr="009B72DF">
        <w:rPr>
          <w:rFonts w:cs="Times New Roman"/>
          <w:szCs w:val="24"/>
        </w:rPr>
        <w:t xml:space="preserve">La elevación de ALT y AST debe interpretarse con cautela. Aunque ambas enzimas son marcadores ampliamente utilizados para evaluar daño hepatocelular, no poseen especificidad suficiente para confirmar MAFLD. En consecuencia, los casos identificados en este estudio no deben considerarse diagnósticos definitivos, sino indicadores bioquímicos de sospecha que justifican estudios complementarios, como ecografía hepática, </w:t>
      </w:r>
      <w:proofErr w:type="spellStart"/>
      <w:r w:rsidRPr="009B72DF">
        <w:rPr>
          <w:rFonts w:cs="Times New Roman"/>
          <w:szCs w:val="24"/>
        </w:rPr>
        <w:t>elastografía</w:t>
      </w:r>
      <w:proofErr w:type="spellEnd"/>
      <w:r w:rsidRPr="009B72DF">
        <w:rPr>
          <w:rFonts w:cs="Times New Roman"/>
          <w:szCs w:val="24"/>
        </w:rPr>
        <w:t>, evaluación de perfil lipídico, glucosa, insulina o índices no invasivos de fibrosis. Esta precisión metodológica fortalece la validez del estudio, al evitar conclusiones diagnósticas que excedan el alcance de los datos disponibles.</w:t>
      </w:r>
    </w:p>
    <w:p w14:paraId="3D8F7974" w14:textId="77777777" w:rsidR="009B72DF" w:rsidRPr="009B72DF" w:rsidRDefault="009B72DF" w:rsidP="009B72DF">
      <w:pPr>
        <w:jc w:val="both"/>
        <w:rPr>
          <w:rFonts w:cs="Times New Roman"/>
          <w:szCs w:val="24"/>
        </w:rPr>
      </w:pPr>
      <w:r w:rsidRPr="009B72DF">
        <w:rPr>
          <w:rFonts w:cs="Times New Roman"/>
          <w:szCs w:val="24"/>
        </w:rPr>
        <w:t xml:space="preserve">La prevalencia observada, aunque moderada, resulta significativa desde el punto de vista preventivo. Identificar alteraciones de transaminasas en adultos jóvenes permite intervenir antes de que aparezcan manifestaciones clínicas o complicaciones hepáticas más avanzadas. En estudiantes de Medicina, esta situación cobra especial relevancia porque se trata de una </w:t>
      </w:r>
      <w:r w:rsidRPr="009B72DF">
        <w:rPr>
          <w:rFonts w:cs="Times New Roman"/>
          <w:szCs w:val="24"/>
        </w:rPr>
        <w:lastRenderedPageBreak/>
        <w:t>población con mayor conocimiento sanitario, pero también expuesta a factores de riesgo académicos y conductuales que pueden afectar la salud metabólica.</w:t>
      </w:r>
    </w:p>
    <w:p w14:paraId="7ABFC0CB" w14:textId="77777777" w:rsidR="009B72DF" w:rsidRPr="009B72DF" w:rsidRDefault="009B72DF" w:rsidP="009B72DF">
      <w:pPr>
        <w:jc w:val="both"/>
        <w:rPr>
          <w:rFonts w:cs="Times New Roman"/>
          <w:szCs w:val="24"/>
        </w:rPr>
      </w:pPr>
      <w:r w:rsidRPr="009B72DF">
        <w:rPr>
          <w:rFonts w:cs="Times New Roman"/>
          <w:szCs w:val="24"/>
        </w:rPr>
        <w:t>Una fortaleza del estudio es el uso de datos bioquímicos objetivos, lo que reduce el sesgo asociado a encuestas o autoinformes. Además, el análisis se centró exclusivamente en estudiantes con peso normal, lo cual permite visibilizar un grupo que suele quedar fuera de los enfoques tradicionales de riesgo hepático. Entre las limitaciones se reconoce el tamaño muestral reducido, el diseño transversal y la ausencia de métodos de imagen para confirmar esteatosis hepática. Asimismo, la falta de información sobre consumo de alcohol, dieta, actividad física y antecedentes metabólicos limita la posibilidad de establecer asociaciones causales.</w:t>
      </w:r>
    </w:p>
    <w:p w14:paraId="2324DE55" w14:textId="1AD9959D" w:rsidR="00366307" w:rsidRDefault="009B72DF" w:rsidP="009B72DF">
      <w:pPr>
        <w:jc w:val="both"/>
        <w:rPr>
          <w:rFonts w:cs="Times New Roman"/>
          <w:szCs w:val="24"/>
        </w:rPr>
      </w:pPr>
      <w:r w:rsidRPr="009B72DF">
        <w:rPr>
          <w:rFonts w:cs="Times New Roman"/>
          <w:szCs w:val="24"/>
        </w:rPr>
        <w:t>En conjunto, los resultados sugieren que la evaluación de ALT y AST puede constituir una estrategia inicial, accesible y de bajo costo para identificar posibles alteraciones hepáticas en estudiantes universitarios con IMC normal. Aunque no sustituye estudios diagnósticos especializados, su utilidad como herramienta de alerta temprana resulta pertinente en contextos institucionales donde la prevención y la promoción de la salud deben priorizarse.</w:t>
      </w:r>
    </w:p>
    <w:p w14:paraId="7F9FFA8A" w14:textId="77777777" w:rsidR="00C54BB2" w:rsidRPr="00930D69" w:rsidRDefault="00C54BB2" w:rsidP="009B72DF">
      <w:pPr>
        <w:jc w:val="both"/>
        <w:rPr>
          <w:rFonts w:cs="Times New Roman"/>
          <w:szCs w:val="24"/>
          <w:lang w:val="es-MX"/>
        </w:rPr>
      </w:pPr>
    </w:p>
    <w:p w14:paraId="116F2AEC" w14:textId="4F589D02" w:rsidR="00653244" w:rsidRPr="00930D69" w:rsidRDefault="00AD5F74" w:rsidP="00653244">
      <w:pPr>
        <w:jc w:val="both"/>
        <w:rPr>
          <w:rFonts w:cs="Times New Roman"/>
          <w:b/>
          <w:sz w:val="28"/>
          <w:szCs w:val="28"/>
        </w:rPr>
      </w:pPr>
      <w:r>
        <w:rPr>
          <w:rFonts w:cs="Times New Roman"/>
          <w:b/>
          <w:sz w:val="28"/>
          <w:szCs w:val="28"/>
        </w:rPr>
        <w:t>5</w:t>
      </w:r>
      <w:r w:rsidR="00653244" w:rsidRPr="00930D69">
        <w:rPr>
          <w:rFonts w:cs="Times New Roman"/>
          <w:b/>
          <w:sz w:val="28"/>
          <w:szCs w:val="28"/>
        </w:rPr>
        <w:t>. CONCLUSIÓN</w:t>
      </w:r>
    </w:p>
    <w:p w14:paraId="6684133B" w14:textId="77777777" w:rsidR="00C54BB2" w:rsidRPr="00C54BB2" w:rsidRDefault="00C54BB2" w:rsidP="00C54BB2">
      <w:pPr>
        <w:jc w:val="both"/>
        <w:rPr>
          <w:rFonts w:cs="Times New Roman"/>
        </w:rPr>
      </w:pPr>
      <w:r w:rsidRPr="00C54BB2">
        <w:rPr>
          <w:rFonts w:cs="Times New Roman"/>
        </w:rPr>
        <w:t xml:space="preserve">La presente investigación permitió determinar la prevalencia de elevación de transaminasas como indicador bioquímico de sospecha de enfermedad hepática </w:t>
      </w:r>
      <w:proofErr w:type="spellStart"/>
      <w:r w:rsidRPr="00C54BB2">
        <w:rPr>
          <w:rFonts w:cs="Times New Roman"/>
        </w:rPr>
        <w:t>esteatósica</w:t>
      </w:r>
      <w:proofErr w:type="spellEnd"/>
      <w:r w:rsidRPr="00C54BB2">
        <w:rPr>
          <w:rFonts w:cs="Times New Roman"/>
        </w:rPr>
        <w:t xml:space="preserve"> asociada a disfunción metabólica (MAFLD) en estudiantes de Medicina con índice de masa corporal normal. Los resultados demostraron que, aun cuando los participantes presentaban un peso considerado adecuado según el IMC, una proporción de ellos evidenció alteraciones en los niveles séricos de alanina aminotransferasa (ALT) y aspartato aminotransferasa (AST), hallazgo que sugiere la existencia de posibles alteraciones hepáticas subclínicas en individuos aparentemente sanos.</w:t>
      </w:r>
    </w:p>
    <w:p w14:paraId="5BFA8D6C" w14:textId="77777777" w:rsidR="00C54BB2" w:rsidRPr="00C54BB2" w:rsidRDefault="00C54BB2" w:rsidP="00C54BB2">
      <w:pPr>
        <w:jc w:val="both"/>
        <w:rPr>
          <w:rFonts w:cs="Times New Roman"/>
        </w:rPr>
      </w:pPr>
      <w:r w:rsidRPr="00C54BB2">
        <w:rPr>
          <w:rFonts w:cs="Times New Roman"/>
        </w:rPr>
        <w:t xml:space="preserve">Los hallazgos respaldan la creciente evidencia científica que señala que el riesgo de enfermedad hepática metabólica no depende exclusivamente del exceso de peso corporal. En consecuencia, la utilización del índice de masa corporal como único criterio para identificar individuos en riesgo puede resultar insuficiente, especialmente en poblaciones jóvenes donde </w:t>
      </w:r>
      <w:r w:rsidRPr="00C54BB2">
        <w:rPr>
          <w:rFonts w:cs="Times New Roman"/>
        </w:rPr>
        <w:lastRenderedPageBreak/>
        <w:t>la adiposidad visceral, los hábitos alimentarios inadecuados, el sedentarismo y otros factores metabólicos pueden encontrarse presentes aun en ausencia de obesidad.</w:t>
      </w:r>
    </w:p>
    <w:p w14:paraId="29369F67" w14:textId="77777777" w:rsidR="00C54BB2" w:rsidRPr="00C54BB2" w:rsidRDefault="00C54BB2" w:rsidP="00C54BB2">
      <w:pPr>
        <w:jc w:val="both"/>
        <w:rPr>
          <w:rFonts w:cs="Times New Roman"/>
        </w:rPr>
      </w:pPr>
      <w:r w:rsidRPr="00C54BB2">
        <w:rPr>
          <w:rFonts w:cs="Times New Roman"/>
        </w:rPr>
        <w:t>Asimismo, los resultados ponen de manifiesto la utilidad de las transaminasas como herramientas bioquímicas de tamizaje inicial. Aunque la elevación de ALT y AST no constituye un criterio diagnóstico definitivo de MAFLD, su determinación permite identificar estudiantes que podrían beneficiarse de una evaluación clínica más profunda mediante estudios de imagen, valoración metabólica integral y seguimiento médico oportuno. Desde esta perspectiva, la interpretación de las transaminasas debe entenderse como un indicador de sospecha y no como una confirmación diagnóstica.</w:t>
      </w:r>
    </w:p>
    <w:p w14:paraId="75B2E614" w14:textId="77777777" w:rsidR="00C54BB2" w:rsidRPr="00C54BB2" w:rsidRDefault="00C54BB2" w:rsidP="00C54BB2">
      <w:pPr>
        <w:jc w:val="both"/>
        <w:rPr>
          <w:rFonts w:cs="Times New Roman"/>
        </w:rPr>
      </w:pPr>
      <w:r w:rsidRPr="00C54BB2">
        <w:rPr>
          <w:rFonts w:cs="Times New Roman"/>
        </w:rPr>
        <w:t>Desde el punto de vista preventivo, la investigación evidencia la necesidad de fortalecer los programas de promoción de la salud dirigidos a estudiantes universitarios, incorporando estrategias de vigilancia metabólica que no se limiten exclusivamente al control del peso corporal. La educación sobre alimentación saludable, actividad física regular, higiene del sueño y reducción del sedentarismo puede contribuir significativamente a disminuir el riesgo de desarrollar alteraciones hepáticas en etapas tempranas de la vida.</w:t>
      </w:r>
    </w:p>
    <w:p w14:paraId="66D388ED" w14:textId="77777777" w:rsidR="00C54BB2" w:rsidRPr="00C54BB2" w:rsidRDefault="00C54BB2" w:rsidP="00C54BB2">
      <w:pPr>
        <w:jc w:val="both"/>
        <w:rPr>
          <w:rFonts w:cs="Times New Roman"/>
        </w:rPr>
      </w:pPr>
      <w:r w:rsidRPr="00C54BB2">
        <w:rPr>
          <w:rFonts w:cs="Times New Roman"/>
        </w:rPr>
        <w:t xml:space="preserve">Entre las principales fortalezas del estudio destaca la utilización de datos antropométricos y bioquímicos objetivos obtenidos mediante procedimientos de laboratorio, lo que proporciona mayor confiabilidad a los resultados. No obstante, deben reconocerse algunas limitaciones, entre ellas el diseño transversal, el tamaño relativamente reducido de la muestra y la ausencia de técnicas de imagen, como ecografía o </w:t>
      </w:r>
      <w:proofErr w:type="spellStart"/>
      <w:r w:rsidRPr="00C54BB2">
        <w:rPr>
          <w:rFonts w:cs="Times New Roman"/>
        </w:rPr>
        <w:t>elastografía</w:t>
      </w:r>
      <w:proofErr w:type="spellEnd"/>
      <w:r w:rsidRPr="00C54BB2">
        <w:rPr>
          <w:rFonts w:cs="Times New Roman"/>
        </w:rPr>
        <w:t xml:space="preserve"> hepática, que permitan confirmar la presencia de esteatosis. Por ello, los resultados deben interpretarse como evidencia de sospecha bioquímica y no como diagnóstico definitivo de MAFLD.</w:t>
      </w:r>
    </w:p>
    <w:p w14:paraId="593B9BEF" w14:textId="0AE5C4A7" w:rsidR="00366307" w:rsidRPr="00930D69" w:rsidRDefault="00C54BB2" w:rsidP="00C54BB2">
      <w:pPr>
        <w:jc w:val="both"/>
        <w:rPr>
          <w:rFonts w:cs="Times New Roman"/>
          <w:lang w:val="es-MX"/>
        </w:rPr>
      </w:pPr>
      <w:r w:rsidRPr="00C54BB2">
        <w:rPr>
          <w:rFonts w:cs="Times New Roman"/>
        </w:rPr>
        <w:t xml:space="preserve">Finalmente, se recomienda que futuras investigaciones incorporen muestras de mayor tamaño, incluyan estudiantes de diferentes carreras universitarias y combinen biomarcadores bioquímicos con métodos de imagen y variables metabólicas adicionales, como perfil lipídico, glucemia, resistencia a la insulina y circunferencia de cintura. Este enfoque permitirá caracterizar con mayor precisión la presencia de enfermedad hepática </w:t>
      </w:r>
      <w:proofErr w:type="spellStart"/>
      <w:r w:rsidRPr="00C54BB2">
        <w:rPr>
          <w:rFonts w:cs="Times New Roman"/>
        </w:rPr>
        <w:t>esteatósica</w:t>
      </w:r>
      <w:proofErr w:type="spellEnd"/>
      <w:r w:rsidRPr="00C54BB2">
        <w:rPr>
          <w:rFonts w:cs="Times New Roman"/>
        </w:rPr>
        <w:t xml:space="preserve"> en población joven y generar evidencia que contribuya al diseño de estrategias de prevención, detección temprana y seguimiento clínico en el ámbito universitario.</w:t>
      </w:r>
    </w:p>
    <w:p w14:paraId="514B8509" w14:textId="77777777" w:rsidR="00366307" w:rsidRPr="00930D69" w:rsidRDefault="00366307" w:rsidP="00366307">
      <w:pPr>
        <w:jc w:val="both"/>
        <w:rPr>
          <w:rFonts w:cs="Times New Roman"/>
          <w:lang w:val="es-MX"/>
        </w:rPr>
      </w:pPr>
    </w:p>
    <w:p w14:paraId="627BDE0B" w14:textId="77777777" w:rsidR="00870202" w:rsidRPr="00930D69" w:rsidRDefault="00870202" w:rsidP="003D4D92">
      <w:pPr>
        <w:spacing w:line="276" w:lineRule="auto"/>
        <w:jc w:val="both"/>
        <w:rPr>
          <w:rFonts w:cs="Times New Roman"/>
          <w:b/>
        </w:rPr>
      </w:pPr>
    </w:p>
    <w:p w14:paraId="23785692" w14:textId="599FCCAD" w:rsidR="003D4D92" w:rsidRPr="00930D69" w:rsidRDefault="003D4D92" w:rsidP="003D4D92">
      <w:pPr>
        <w:spacing w:line="276" w:lineRule="auto"/>
        <w:jc w:val="both"/>
        <w:rPr>
          <w:rFonts w:cs="Times New Roman"/>
          <w:b/>
        </w:rPr>
      </w:pPr>
      <w:r w:rsidRPr="00930D69">
        <w:rPr>
          <w:rFonts w:cs="Times New Roman"/>
          <w:b/>
        </w:rPr>
        <w:lastRenderedPageBreak/>
        <w:t>REFERENCIAS BIBLIOGRÁFICAS</w:t>
      </w:r>
    </w:p>
    <w:sdt>
      <w:sdtPr>
        <w:rPr>
          <w:rFonts w:cs="Times New Roman"/>
          <w:szCs w:val="24"/>
        </w:rPr>
        <w:id w:val="111145805"/>
        <w:bibliography/>
      </w:sdtPr>
      <w:sdtContent>
        <w:sdt>
          <w:sdtPr>
            <w:rPr>
              <w:rFonts w:cs="Times New Roman"/>
              <w:szCs w:val="24"/>
            </w:rPr>
            <w:id w:val="881515884"/>
            <w:bibliography/>
          </w:sdtPr>
          <w:sdtContent>
            <w:p w14:paraId="08443F30" w14:textId="77777777" w:rsidR="00C54BB2" w:rsidRPr="00C54BB2" w:rsidRDefault="00C54BB2" w:rsidP="00C54BB2">
              <w:pPr>
                <w:pStyle w:val="Bibliografa"/>
                <w:spacing w:line="276" w:lineRule="auto"/>
                <w:ind w:firstLine="709"/>
                <w:jc w:val="both"/>
                <w:rPr>
                  <w:rFonts w:cs="Times New Roman"/>
                  <w:szCs w:val="24"/>
                </w:rPr>
              </w:pPr>
              <w:r w:rsidRPr="002B1414">
                <w:rPr>
                  <w:rFonts w:cs="Times New Roman"/>
                  <w:szCs w:val="24"/>
                  <w:lang w:val="es-ES"/>
                </w:rPr>
                <w:t xml:space="preserve">Abrams, G. A., Rabil, A. M., Williams, A.-Y. P., &amp; Hecht, E. M. (2021). </w:t>
              </w:r>
              <w:r w:rsidRPr="00C54BB2">
                <w:rPr>
                  <w:rFonts w:cs="Times New Roman"/>
                  <w:szCs w:val="24"/>
                  <w:lang w:val="en-US"/>
                </w:rPr>
                <w:t xml:space="preserve">Serum alanine transaminase is an inadequate nonalcoholic fatty liver screening test in adolescents: Results from the National Health and Nutrition Examination Survey 2017–2018. </w:t>
              </w:r>
              <w:proofErr w:type="spellStart"/>
              <w:r w:rsidRPr="00C54BB2">
                <w:rPr>
                  <w:rFonts w:cs="Times New Roman"/>
                  <w:szCs w:val="24"/>
                </w:rPr>
                <w:t>Clinical</w:t>
              </w:r>
              <w:proofErr w:type="spellEnd"/>
              <w:r w:rsidRPr="00C54BB2">
                <w:rPr>
                  <w:rFonts w:cs="Times New Roman"/>
                  <w:szCs w:val="24"/>
                </w:rPr>
                <w:t xml:space="preserve"> </w:t>
              </w:r>
              <w:proofErr w:type="spellStart"/>
              <w:r w:rsidRPr="00C54BB2">
                <w:rPr>
                  <w:rFonts w:cs="Times New Roman"/>
                  <w:szCs w:val="24"/>
                </w:rPr>
                <w:t>Pediatrics</w:t>
              </w:r>
              <w:proofErr w:type="spellEnd"/>
              <w:r w:rsidRPr="00C54BB2">
                <w:rPr>
                  <w:rFonts w:cs="Times New Roman"/>
                  <w:szCs w:val="24"/>
                </w:rPr>
                <w:t>, 60(8), 370–375. https://doi.org/10.1177/00099228211020177</w:t>
              </w:r>
            </w:p>
            <w:p w14:paraId="48683603"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rPr>
                <w:t xml:space="preserve">Alkhouri, N., Almomani, A., Le, P., Payne, J. Y., Asaad, I., Sakkal, C., Vos, M., Noureddin, M., &amp; Kumar, P. (2022). </w:t>
              </w:r>
              <w:r w:rsidRPr="00C54BB2">
                <w:rPr>
                  <w:rFonts w:cs="Times New Roman"/>
                  <w:szCs w:val="24"/>
                  <w:lang w:val="en-US"/>
                </w:rPr>
                <w:t>The prevalence of alcoholic and nonalcoholic fatty liver disease in adolescents and young adults in the United States: Analysis of the NHANES database. BMC Gastroenterology, 22, 366. https://doi.org/10.1186/s12876-022-02430-7</w:t>
              </w:r>
            </w:p>
            <w:p w14:paraId="7DE34846"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 xml:space="preserve">Arshad, T., Paik, J. M., Biswas, R., Alqahtani, S. A., Henry, L., &amp; </w:t>
              </w:r>
              <w:proofErr w:type="spellStart"/>
              <w:r w:rsidRPr="00C54BB2">
                <w:rPr>
                  <w:rFonts w:cs="Times New Roman"/>
                  <w:szCs w:val="24"/>
                  <w:lang w:val="en-US"/>
                </w:rPr>
                <w:t>Younossi</w:t>
              </w:r>
              <w:proofErr w:type="spellEnd"/>
              <w:r w:rsidRPr="00C54BB2">
                <w:rPr>
                  <w:rFonts w:cs="Times New Roman"/>
                  <w:szCs w:val="24"/>
                  <w:lang w:val="en-US"/>
                </w:rPr>
                <w:t>, Z. M. (2021). Nonalcoholic fatty liver disease prevalence trends among adolescents and young adults in the United States, 2007–2016. Hepatology Communications, 5(10), 1676–1688. https://doi.org/10.1002/hep4.1760</w:t>
              </w:r>
            </w:p>
            <w:p w14:paraId="49E2B4AA"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Cheah, M. C. C., Crane, H., &amp; George, J. (2025). Global prevalence, metabolic characteristics, and outcomes of lean-MAFLD: A systematic review and meta-analysis. Hepatology International, 19(3), 607–618. https://doi.org/10.1007/s12072-025-10801-x</w:t>
              </w:r>
            </w:p>
            <w:p w14:paraId="590B3A4F" w14:textId="77777777" w:rsidR="00C54BB2" w:rsidRPr="00C54BB2" w:rsidRDefault="00C54BB2" w:rsidP="00C54BB2">
              <w:pPr>
                <w:pStyle w:val="Bibliografa"/>
                <w:spacing w:line="276" w:lineRule="auto"/>
                <w:ind w:firstLine="709"/>
                <w:jc w:val="both"/>
                <w:rPr>
                  <w:rFonts w:cs="Times New Roman"/>
                  <w:szCs w:val="24"/>
                  <w:lang w:val="en-US"/>
                </w:rPr>
              </w:pPr>
              <w:r w:rsidRPr="002B1414">
                <w:rPr>
                  <w:rFonts w:cs="Times New Roman"/>
                  <w:szCs w:val="24"/>
                  <w:lang w:val="en-US"/>
                </w:rPr>
                <w:t xml:space="preserve">Cusi, K., Bril, F., Portillo-Sanchez, P., et al. </w:t>
              </w:r>
              <w:r w:rsidRPr="00C54BB2">
                <w:rPr>
                  <w:rFonts w:cs="Times New Roman"/>
                  <w:szCs w:val="24"/>
                  <w:lang w:val="en-US"/>
                </w:rPr>
                <w:t xml:space="preserve">(2025). Metabolic dysfunction-associated </w:t>
              </w:r>
              <w:proofErr w:type="spellStart"/>
              <w:r w:rsidRPr="00C54BB2">
                <w:rPr>
                  <w:rFonts w:cs="Times New Roman"/>
                  <w:szCs w:val="24"/>
                  <w:lang w:val="en-US"/>
                </w:rPr>
                <w:t>steatotic</w:t>
              </w:r>
              <w:proofErr w:type="spellEnd"/>
              <w:r w:rsidRPr="00C54BB2">
                <w:rPr>
                  <w:rFonts w:cs="Times New Roman"/>
                  <w:szCs w:val="24"/>
                  <w:lang w:val="en-US"/>
                </w:rPr>
                <w:t xml:space="preserve"> liver disease in people with diabetes: The need for screening and early intervention. A consensus report of the American Diabetes Association. Diabetes Care, 48(7), 1057–1082. https://doi.org/10.2337/dci24-0094</w:t>
              </w:r>
            </w:p>
            <w:p w14:paraId="1979BBAD" w14:textId="77777777" w:rsidR="00C54BB2" w:rsidRPr="00C54BB2" w:rsidRDefault="00C54BB2" w:rsidP="00C54BB2">
              <w:pPr>
                <w:pStyle w:val="Bibliografa"/>
                <w:spacing w:line="276" w:lineRule="auto"/>
                <w:ind w:firstLine="709"/>
                <w:jc w:val="both"/>
                <w:rPr>
                  <w:rFonts w:cs="Times New Roman"/>
                  <w:szCs w:val="24"/>
                  <w:lang w:val="en-US"/>
                </w:rPr>
              </w:pPr>
              <w:proofErr w:type="spellStart"/>
              <w:r w:rsidRPr="00C54BB2">
                <w:rPr>
                  <w:rFonts w:cs="Times New Roman"/>
                  <w:szCs w:val="24"/>
                  <w:lang w:val="en-US"/>
                </w:rPr>
                <w:t>Danpanichkul</w:t>
              </w:r>
              <w:proofErr w:type="spellEnd"/>
              <w:r w:rsidRPr="00C54BB2">
                <w:rPr>
                  <w:rFonts w:cs="Times New Roman"/>
                  <w:szCs w:val="24"/>
                  <w:lang w:val="en-US"/>
                </w:rPr>
                <w:t xml:space="preserve">, P., </w:t>
              </w:r>
              <w:proofErr w:type="spellStart"/>
              <w:r w:rsidRPr="00C54BB2">
                <w:rPr>
                  <w:rFonts w:cs="Times New Roman"/>
                  <w:szCs w:val="24"/>
                  <w:lang w:val="en-US"/>
                </w:rPr>
                <w:t>Suparan</w:t>
              </w:r>
              <w:proofErr w:type="spellEnd"/>
              <w:r w:rsidRPr="00C54BB2">
                <w:rPr>
                  <w:rFonts w:cs="Times New Roman"/>
                  <w:szCs w:val="24"/>
                  <w:lang w:val="en-US"/>
                </w:rPr>
                <w:t xml:space="preserve">, K., </w:t>
              </w:r>
              <w:proofErr w:type="spellStart"/>
              <w:r w:rsidRPr="00C54BB2">
                <w:rPr>
                  <w:rFonts w:cs="Times New Roman"/>
                  <w:szCs w:val="24"/>
                  <w:lang w:val="en-US"/>
                </w:rPr>
                <w:t>Prasitsumrit</w:t>
              </w:r>
              <w:proofErr w:type="spellEnd"/>
              <w:r w:rsidRPr="00C54BB2">
                <w:rPr>
                  <w:rFonts w:cs="Times New Roman"/>
                  <w:szCs w:val="24"/>
                  <w:lang w:val="en-US"/>
                </w:rPr>
                <w:t xml:space="preserve">, V., Ahmed, A., </w:t>
              </w:r>
              <w:proofErr w:type="spellStart"/>
              <w:r w:rsidRPr="00C54BB2">
                <w:rPr>
                  <w:rFonts w:cs="Times New Roman"/>
                  <w:szCs w:val="24"/>
                  <w:lang w:val="en-US"/>
                </w:rPr>
                <w:t>Wijarnpreecha</w:t>
              </w:r>
              <w:proofErr w:type="spellEnd"/>
              <w:r w:rsidRPr="00C54BB2">
                <w:rPr>
                  <w:rFonts w:cs="Times New Roman"/>
                  <w:szCs w:val="24"/>
                  <w:lang w:val="en-US"/>
                </w:rPr>
                <w:t xml:space="preserve">, K., &amp; Kim, D. (2025). Long-term outcomes and risk modifiers of metabolic dysfunction-associated </w:t>
              </w:r>
              <w:proofErr w:type="spellStart"/>
              <w:r w:rsidRPr="00C54BB2">
                <w:rPr>
                  <w:rFonts w:cs="Times New Roman"/>
                  <w:szCs w:val="24"/>
                  <w:lang w:val="en-US"/>
                </w:rPr>
                <w:t>steatotic</w:t>
              </w:r>
              <w:proofErr w:type="spellEnd"/>
              <w:r w:rsidRPr="00C54BB2">
                <w:rPr>
                  <w:rFonts w:cs="Times New Roman"/>
                  <w:szCs w:val="24"/>
                  <w:lang w:val="en-US"/>
                </w:rPr>
                <w:t xml:space="preserve"> liver disease in lean individuals. Clinical and Molecular Hepatology. Advance online publication. https://doi.org/10.3350/cmh.2024.0631</w:t>
              </w:r>
            </w:p>
            <w:p w14:paraId="1847D78B"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rPr>
                <w:t xml:space="preserve">De, A., Bhagat, N., Mehta, M., Taneja, S., &amp; Duseja, A. (2024). </w:t>
              </w:r>
              <w:r w:rsidRPr="00C54BB2">
                <w:rPr>
                  <w:rFonts w:cs="Times New Roman"/>
                  <w:szCs w:val="24"/>
                  <w:lang w:val="en-US"/>
                </w:rPr>
                <w:t xml:space="preserve">Metabolic dysfunction-associated </w:t>
              </w:r>
              <w:proofErr w:type="spellStart"/>
              <w:r w:rsidRPr="00C54BB2">
                <w:rPr>
                  <w:rFonts w:cs="Times New Roman"/>
                  <w:szCs w:val="24"/>
                  <w:lang w:val="en-US"/>
                </w:rPr>
                <w:t>steatotic</w:t>
              </w:r>
              <w:proofErr w:type="spellEnd"/>
              <w:r w:rsidRPr="00C54BB2">
                <w:rPr>
                  <w:rFonts w:cs="Times New Roman"/>
                  <w:szCs w:val="24"/>
                  <w:lang w:val="en-US"/>
                </w:rPr>
                <w:t xml:space="preserve"> liver disease (MASLD) definition is better than MAFLD criteria for lean patients with NAFLD. Journal of Hepatology, 80(2), e61–e62. https://doi.org/10.1016/j.jhep.2023.07.031</w:t>
              </w:r>
            </w:p>
            <w:p w14:paraId="74F72BD5"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rPr>
                <w:t xml:space="preserve">Diaz, L. A., Arab, J. P., </w:t>
              </w:r>
              <w:proofErr w:type="spellStart"/>
              <w:r w:rsidRPr="00C54BB2">
                <w:rPr>
                  <w:rFonts w:cs="Times New Roman"/>
                  <w:szCs w:val="24"/>
                </w:rPr>
                <w:t>Idalsoaga</w:t>
              </w:r>
              <w:proofErr w:type="spellEnd"/>
              <w:r w:rsidRPr="00C54BB2">
                <w:rPr>
                  <w:rFonts w:cs="Times New Roman"/>
                  <w:szCs w:val="24"/>
                </w:rPr>
                <w:t xml:space="preserve">, F., Perelli, J., Vega, J., </w:t>
              </w:r>
              <w:proofErr w:type="spellStart"/>
              <w:r w:rsidRPr="00C54BB2">
                <w:rPr>
                  <w:rFonts w:cs="Times New Roman"/>
                  <w:szCs w:val="24"/>
                </w:rPr>
                <w:t>Dirchwolf</w:t>
              </w:r>
              <w:proofErr w:type="spellEnd"/>
              <w:r w:rsidRPr="00C54BB2">
                <w:rPr>
                  <w:rFonts w:cs="Times New Roman"/>
                  <w:szCs w:val="24"/>
                </w:rPr>
                <w:t xml:space="preserve">, M., Carreño, J., Samith, B., Valério, C., Moreira, R. O., Acevedo, M., Brahm, J., Hernández, N., </w:t>
              </w:r>
              <w:proofErr w:type="spellStart"/>
              <w:r w:rsidRPr="00C54BB2">
                <w:rPr>
                  <w:rFonts w:cs="Times New Roman"/>
                  <w:szCs w:val="24"/>
                </w:rPr>
                <w:t>Gadano</w:t>
              </w:r>
              <w:proofErr w:type="spellEnd"/>
              <w:r w:rsidRPr="00C54BB2">
                <w:rPr>
                  <w:rFonts w:cs="Times New Roman"/>
                  <w:szCs w:val="24"/>
                </w:rPr>
                <w:t xml:space="preserve">, A., Oliveira, C. P., Arrese, M., Castro-Narro, G., &amp; Pessoa, M. G. (2025). </w:t>
              </w:r>
              <w:r w:rsidRPr="00C54BB2">
                <w:rPr>
                  <w:rFonts w:cs="Times New Roman"/>
                  <w:szCs w:val="24"/>
                  <w:lang w:val="en-US"/>
                </w:rPr>
                <w:t xml:space="preserve">Updated recommendations for the management of metabolic dysfunction-associated </w:t>
              </w:r>
              <w:proofErr w:type="spellStart"/>
              <w:r w:rsidRPr="00C54BB2">
                <w:rPr>
                  <w:rFonts w:cs="Times New Roman"/>
                  <w:szCs w:val="24"/>
                  <w:lang w:val="en-US"/>
                </w:rPr>
                <w:t>steatotic</w:t>
              </w:r>
              <w:proofErr w:type="spellEnd"/>
              <w:r w:rsidRPr="00C54BB2">
                <w:rPr>
                  <w:rFonts w:cs="Times New Roman"/>
                  <w:szCs w:val="24"/>
                  <w:lang w:val="en-US"/>
                </w:rPr>
                <w:t xml:space="preserve"> liver disease (MASLD) by the Latin American working group. Annals of Hepatology, 30(2), 101903. https://doi.org/10.1016/j.aohep.2025.101903</w:t>
              </w:r>
            </w:p>
            <w:p w14:paraId="08016C17" w14:textId="77777777" w:rsidR="00C54BB2" w:rsidRPr="00C54BB2" w:rsidRDefault="00C54BB2" w:rsidP="00C54BB2">
              <w:pPr>
                <w:pStyle w:val="Bibliografa"/>
                <w:spacing w:line="276" w:lineRule="auto"/>
                <w:ind w:firstLine="709"/>
                <w:jc w:val="both"/>
                <w:rPr>
                  <w:rFonts w:cs="Times New Roman"/>
                  <w:szCs w:val="24"/>
                  <w:lang w:val="en-US"/>
                </w:rPr>
              </w:pPr>
              <w:r w:rsidRPr="002B1414">
                <w:rPr>
                  <w:rFonts w:cs="Times New Roman"/>
                  <w:szCs w:val="24"/>
                  <w:lang w:val="en-US"/>
                </w:rPr>
                <w:t xml:space="preserve">Díaz, L. A., Villota-Rivas, M., Barrera, F., Lazarus, J. V., &amp; Arrese, M. (2024). </w:t>
              </w:r>
              <w:r w:rsidRPr="00C54BB2">
                <w:rPr>
                  <w:rFonts w:cs="Times New Roman"/>
                  <w:szCs w:val="24"/>
                  <w:lang w:val="en-US"/>
                </w:rPr>
                <w:t>The burden of liver disease in Latin America. Annals of Hepatology, 29(3), 101175. https://doi.org/10.1016/j.aohep.2023.101175</w:t>
              </w:r>
            </w:p>
            <w:p w14:paraId="40CF09A0" w14:textId="77777777" w:rsidR="00C54BB2" w:rsidRPr="00C54BB2" w:rsidRDefault="00C54BB2" w:rsidP="00C54BB2">
              <w:pPr>
                <w:pStyle w:val="Bibliografa"/>
                <w:spacing w:line="276" w:lineRule="auto"/>
                <w:ind w:firstLine="709"/>
                <w:jc w:val="both"/>
                <w:rPr>
                  <w:rFonts w:cs="Times New Roman"/>
                  <w:szCs w:val="24"/>
                  <w:lang w:val="en-US"/>
                </w:rPr>
              </w:pPr>
              <w:proofErr w:type="spellStart"/>
              <w:r w:rsidRPr="00C54BB2">
                <w:rPr>
                  <w:rFonts w:cs="Times New Roman"/>
                  <w:szCs w:val="24"/>
                  <w:lang w:val="en-US"/>
                </w:rPr>
                <w:t>Elhoseeny</w:t>
              </w:r>
              <w:proofErr w:type="spellEnd"/>
              <w:r w:rsidRPr="00C54BB2">
                <w:rPr>
                  <w:rFonts w:cs="Times New Roman"/>
                  <w:szCs w:val="24"/>
                  <w:lang w:val="en-US"/>
                </w:rPr>
                <w:t>, M. M., Rageh, F., Rezk, S. M., &amp; Othman, A. A. A. (2025). Frequency and risk factors of metabolic associated fatty liver disease among medical students in Egypt. Scientific Reports, 15, 13470. https://doi.org/10.1038/s41598-025-95753-w</w:t>
              </w:r>
            </w:p>
            <w:p w14:paraId="64145682"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lastRenderedPageBreak/>
                <w:t xml:space="preserve">Eslam, M., Fan, J.-G., Yu, M.-L., Wong, V. W.-S., Cua, I. H., Liu, C.-J., </w:t>
              </w:r>
              <w:proofErr w:type="spellStart"/>
              <w:r w:rsidRPr="00C54BB2">
                <w:rPr>
                  <w:rFonts w:cs="Times New Roman"/>
                  <w:szCs w:val="24"/>
                  <w:lang w:val="en-US"/>
                </w:rPr>
                <w:t>Tanwandee</w:t>
              </w:r>
              <w:proofErr w:type="spellEnd"/>
              <w:r w:rsidRPr="00C54BB2">
                <w:rPr>
                  <w:rFonts w:cs="Times New Roman"/>
                  <w:szCs w:val="24"/>
                  <w:lang w:val="en-US"/>
                </w:rPr>
                <w:t>, T., Gani, R., Seto, W.-K., Alam, S., Young, D. Y., Hamid, S., Zheng, M.-H., Kawaguchi, T., Chan, W.-K., Payawal, D., Tan, S.-S., Goh, G. B.-B., Strasser, S. I., ... George, J. (2025). The Asian Pacific Association for the Study of the Liver clinical practice guidelines for the diagnosis and management of metabolic dysfunction-associated fatty liver disease. Hepatology International, 19, 261–301. https://doi.org/10.1007/s12072-024-10774-3</w:t>
              </w:r>
            </w:p>
            <w:p w14:paraId="097C2451"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 xml:space="preserve">European Association for the Study of the Liver, European Association for the Study of Diabetes, &amp; European Association for the Study of Obesity. (2024). EASL-EASD-EASO Clinical Practice Guidelines on the management of metabolic dysfunction-associated </w:t>
              </w:r>
              <w:proofErr w:type="spellStart"/>
              <w:r w:rsidRPr="00C54BB2">
                <w:rPr>
                  <w:rFonts w:cs="Times New Roman"/>
                  <w:szCs w:val="24"/>
                  <w:lang w:val="en-US"/>
                </w:rPr>
                <w:t>steatotic</w:t>
              </w:r>
              <w:proofErr w:type="spellEnd"/>
              <w:r w:rsidRPr="00C54BB2">
                <w:rPr>
                  <w:rFonts w:cs="Times New Roman"/>
                  <w:szCs w:val="24"/>
                  <w:lang w:val="en-US"/>
                </w:rPr>
                <w:t xml:space="preserve"> liver disease (MASLD). Journal of Hepatology, 81(3), 492–542. https://doi.org/10.1016/j.jhep.2024.04.031</w:t>
              </w:r>
            </w:p>
            <w:p w14:paraId="1A3E97FC" w14:textId="77777777" w:rsidR="00C54BB2" w:rsidRPr="00C54BB2" w:rsidRDefault="00C54BB2" w:rsidP="00C54BB2">
              <w:pPr>
                <w:pStyle w:val="Bibliografa"/>
                <w:spacing w:line="276" w:lineRule="auto"/>
                <w:ind w:firstLine="709"/>
                <w:jc w:val="both"/>
                <w:rPr>
                  <w:rFonts w:cs="Times New Roman"/>
                  <w:szCs w:val="24"/>
                  <w:lang w:val="en-US"/>
                </w:rPr>
              </w:pPr>
              <w:r w:rsidRPr="002B1414">
                <w:rPr>
                  <w:rFonts w:cs="Times New Roman"/>
                  <w:szCs w:val="24"/>
                  <w:lang w:val="en-US"/>
                </w:rPr>
                <w:t xml:space="preserve">Ha, J., Yim, S. Y., &amp; Karagozian, R. (2023). </w:t>
              </w:r>
              <w:r w:rsidRPr="00C54BB2">
                <w:rPr>
                  <w:rFonts w:cs="Times New Roman"/>
                  <w:szCs w:val="24"/>
                  <w:lang w:val="en-US"/>
                </w:rPr>
                <w:t>Mortality and liver-related events in lean versus non-lean nonalcoholic fatty liver disease: A systematic review and meta-analysis. Clinical Gastroenterology and Hepatology, 21(10), 2496–2507.e5. https://doi.org/10.1016/j.cgh.2022.11.019</w:t>
              </w:r>
            </w:p>
            <w:p w14:paraId="77CE5242"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 xml:space="preserve">Lee, J., Byrne, C. J., Brennan, P. N., MacPherson, I., Dow, E., &amp; Dillon, J. F. (2024). Optimal ALT threshold for the automated diagnosis of MASLD: A population-based study using </w:t>
              </w:r>
              <w:proofErr w:type="spellStart"/>
              <w:r w:rsidRPr="00C54BB2">
                <w:rPr>
                  <w:rFonts w:cs="Times New Roman"/>
                  <w:szCs w:val="24"/>
                  <w:lang w:val="en-US"/>
                </w:rPr>
                <w:t>iLFT</w:t>
              </w:r>
              <w:proofErr w:type="spellEnd"/>
              <w:r w:rsidRPr="00C54BB2">
                <w:rPr>
                  <w:rFonts w:cs="Times New Roman"/>
                  <w:szCs w:val="24"/>
                  <w:lang w:val="en-US"/>
                </w:rPr>
                <w:t>. Annals of Hepatology, 29(2), 101280. https://doi.org/10.1016/j.aohep.2023.101280</w:t>
              </w:r>
            </w:p>
            <w:p w14:paraId="66AB9026"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 xml:space="preserve">NAFLD Nomenclature Consensus Group. (2023). A </w:t>
              </w:r>
              <w:proofErr w:type="spellStart"/>
              <w:r w:rsidRPr="00C54BB2">
                <w:rPr>
                  <w:rFonts w:cs="Times New Roman"/>
                  <w:szCs w:val="24"/>
                  <w:lang w:val="en-US"/>
                </w:rPr>
                <w:t>multisociety</w:t>
              </w:r>
              <w:proofErr w:type="spellEnd"/>
              <w:r w:rsidRPr="00C54BB2">
                <w:rPr>
                  <w:rFonts w:cs="Times New Roman"/>
                  <w:szCs w:val="24"/>
                  <w:lang w:val="en-US"/>
                </w:rPr>
                <w:t xml:space="preserve"> Delphi consensus statement on new fatty liver disease nomenclature. Journal of Hepatology, 79(6), 1542–1556. https://doi.org/10.1016/j.jhep.2023.06.003</w:t>
              </w:r>
            </w:p>
            <w:p w14:paraId="6C3C846C" w14:textId="77777777" w:rsidR="00C54BB2" w:rsidRPr="00C54BB2" w:rsidRDefault="00C54BB2" w:rsidP="00C54BB2">
              <w:pPr>
                <w:pStyle w:val="Bibliografa"/>
                <w:spacing w:line="276" w:lineRule="auto"/>
                <w:ind w:firstLine="709"/>
                <w:jc w:val="both"/>
                <w:rPr>
                  <w:rFonts w:cs="Times New Roman"/>
                  <w:szCs w:val="24"/>
                </w:rPr>
              </w:pPr>
              <w:r w:rsidRPr="002B1414">
                <w:rPr>
                  <w:rFonts w:cs="Times New Roman"/>
                  <w:szCs w:val="24"/>
                  <w:lang w:val="en-US"/>
                </w:rPr>
                <w:t>Njei, B., Ameyaw, P., Al-</w:t>
              </w:r>
              <w:proofErr w:type="spellStart"/>
              <w:r w:rsidRPr="002B1414">
                <w:rPr>
                  <w:rFonts w:cs="Times New Roman"/>
                  <w:szCs w:val="24"/>
                  <w:lang w:val="en-US"/>
                </w:rPr>
                <w:t>Ajlouni</w:t>
              </w:r>
              <w:proofErr w:type="spellEnd"/>
              <w:r w:rsidRPr="002B1414">
                <w:rPr>
                  <w:rFonts w:cs="Times New Roman"/>
                  <w:szCs w:val="24"/>
                  <w:lang w:val="en-US"/>
                </w:rPr>
                <w:t xml:space="preserve">, Y., Njei, L.-P., &amp; Boateng, S. (2024). </w:t>
              </w:r>
              <w:r w:rsidRPr="00C54BB2">
                <w:rPr>
                  <w:rFonts w:cs="Times New Roman"/>
                  <w:szCs w:val="24"/>
                  <w:lang w:val="en-US"/>
                </w:rPr>
                <w:t xml:space="preserve">Diagnosis and management of lean metabolic dysfunction-associated </w:t>
              </w:r>
              <w:proofErr w:type="spellStart"/>
              <w:r w:rsidRPr="00C54BB2">
                <w:rPr>
                  <w:rFonts w:cs="Times New Roman"/>
                  <w:szCs w:val="24"/>
                  <w:lang w:val="en-US"/>
                </w:rPr>
                <w:t>steatotic</w:t>
              </w:r>
              <w:proofErr w:type="spellEnd"/>
              <w:r w:rsidRPr="00C54BB2">
                <w:rPr>
                  <w:rFonts w:cs="Times New Roman"/>
                  <w:szCs w:val="24"/>
                  <w:lang w:val="en-US"/>
                </w:rPr>
                <w:t xml:space="preserve"> liver disease (MASLD): A systematic review. </w:t>
              </w:r>
              <w:proofErr w:type="spellStart"/>
              <w:r w:rsidRPr="00C54BB2">
                <w:rPr>
                  <w:rFonts w:cs="Times New Roman"/>
                  <w:szCs w:val="24"/>
                </w:rPr>
                <w:t>Cureus</w:t>
              </w:r>
              <w:proofErr w:type="spellEnd"/>
              <w:r w:rsidRPr="00C54BB2">
                <w:rPr>
                  <w:rFonts w:cs="Times New Roman"/>
                  <w:szCs w:val="24"/>
                </w:rPr>
                <w:t>, 16(10), e71451. https://doi.org/10.7759/cureus.71451</w:t>
              </w:r>
            </w:p>
            <w:p w14:paraId="6E89B2C8"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rPr>
                <w:t xml:space="preserve">Olaez-Ramos, C. E., Mojica-Zamudio, K. L., Sandoval-Rodríguez, A. S., &amp; Armendáriz-Borunda, J. A. (2026). </w:t>
              </w:r>
              <w:r w:rsidRPr="00C54BB2">
                <w:rPr>
                  <w:rFonts w:cs="Times New Roman"/>
                  <w:szCs w:val="24"/>
                  <w:lang w:val="en-US"/>
                </w:rPr>
                <w:t>Epidemiology and diagnostic of MASLD in Latin America: A yet to be met challenge. Frontiers in Pharmacology, 16, 1700072. https://doi.org/10.3389/fphar.2025.1700072</w:t>
              </w:r>
            </w:p>
            <w:p w14:paraId="165AFAB6"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Rinella, M. E., Neuschwander-Tetri, B. A., Siddiqui, M. S., Abdelmalek, M. F., Caldwell, S., Barb, D., Kleiner, D. E., &amp; Loomba, R. (2023). AASLD Practice Guidance on the clinical assessment and management of nonalcoholic fatty liver disease. Hepatology, 77(5), 1797–1835. https://doi.org/10.1097/HEP.0000000000000323</w:t>
              </w:r>
            </w:p>
            <w:p w14:paraId="25A7F781"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 xml:space="preserve">Sterling, R. K., Patel, K., Duarte-Rojo, A., Asrani, S. K., </w:t>
              </w:r>
              <w:proofErr w:type="spellStart"/>
              <w:r w:rsidRPr="00C54BB2">
                <w:rPr>
                  <w:rFonts w:cs="Times New Roman"/>
                  <w:szCs w:val="24"/>
                  <w:lang w:val="en-US"/>
                </w:rPr>
                <w:t>Alsawas</w:t>
              </w:r>
              <w:proofErr w:type="spellEnd"/>
              <w:r w:rsidRPr="00C54BB2">
                <w:rPr>
                  <w:rFonts w:cs="Times New Roman"/>
                  <w:szCs w:val="24"/>
                  <w:lang w:val="en-US"/>
                </w:rPr>
                <w:t xml:space="preserve">, M., Dranoff, J. A., Fiel, M. I., Murad, M. H., Leung, D. H., Levine, D., Taddei, T. H., </w:t>
              </w:r>
              <w:proofErr w:type="spellStart"/>
              <w:r w:rsidRPr="00C54BB2">
                <w:rPr>
                  <w:rFonts w:cs="Times New Roman"/>
                  <w:szCs w:val="24"/>
                  <w:lang w:val="en-US"/>
                </w:rPr>
                <w:t>Taouli</w:t>
              </w:r>
              <w:proofErr w:type="spellEnd"/>
              <w:r w:rsidRPr="00C54BB2">
                <w:rPr>
                  <w:rFonts w:cs="Times New Roman"/>
                  <w:szCs w:val="24"/>
                  <w:lang w:val="en-US"/>
                </w:rPr>
                <w:t>, B., &amp; Rockey, D. C. (2025). AASLD Practice Guideline on blood-based noninvasive liver disease assessment of hepatic fibrosis and steatosis. Hepatology, 81(1), 321–357. https://doi.org/10.1097/HEP.0000000000000845</w:t>
              </w:r>
            </w:p>
            <w:p w14:paraId="15FCE62E"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lang w:val="en-US"/>
                </w:rPr>
                <w:t xml:space="preserve">Tang, A., Ng, C. H., Phang, P. H., Chan, K. E., Chin, Y. H., Fu, C. E., Zeng, R. W., Xiao, J., Tan, D. J. H., Quek, J., Lim, W. H., Mak, L. Y., Wang, J.-W., Chew, N. </w:t>
              </w:r>
              <w:r w:rsidRPr="00C54BB2">
                <w:rPr>
                  <w:rFonts w:cs="Times New Roman"/>
                  <w:szCs w:val="24"/>
                  <w:lang w:val="en-US"/>
                </w:rPr>
                <w:lastRenderedPageBreak/>
                <w:t>W. S., Syn, N., Huang, D. Q., Siddiqui, M. S., Sanyal, A., Muthiah, M., &amp; Noureddin, M. (2023). Comparative burden of metabolic dysfunction in lean NAFLD vs non-lean NAFLD: A systematic review and meta-analysis. Clinical Gastroenterology and Hepatology, 21(7), 1750–1760.e12. https://doi.org/10.1016/j.cgh.2022.06.029</w:t>
              </w:r>
            </w:p>
            <w:p w14:paraId="6F2ED971" w14:textId="77777777" w:rsidR="00C54BB2" w:rsidRPr="00C54BB2" w:rsidRDefault="00C54BB2" w:rsidP="00C54BB2">
              <w:pPr>
                <w:pStyle w:val="Bibliografa"/>
                <w:spacing w:line="276" w:lineRule="auto"/>
                <w:ind w:firstLine="709"/>
                <w:jc w:val="both"/>
                <w:rPr>
                  <w:rFonts w:cs="Times New Roman"/>
                  <w:szCs w:val="24"/>
                </w:rPr>
              </w:pPr>
              <w:r w:rsidRPr="00C54BB2">
                <w:rPr>
                  <w:rFonts w:cs="Times New Roman"/>
                  <w:szCs w:val="24"/>
                  <w:lang w:val="en-US"/>
                </w:rPr>
                <w:t xml:space="preserve">Tomah, S., Hamdy, O., </w:t>
              </w:r>
              <w:proofErr w:type="spellStart"/>
              <w:r w:rsidRPr="00C54BB2">
                <w:rPr>
                  <w:rFonts w:cs="Times New Roman"/>
                  <w:szCs w:val="24"/>
                  <w:lang w:val="en-US"/>
                </w:rPr>
                <w:t>Abuelmagd</w:t>
              </w:r>
              <w:proofErr w:type="spellEnd"/>
              <w:r w:rsidRPr="00C54BB2">
                <w:rPr>
                  <w:rFonts w:cs="Times New Roman"/>
                  <w:szCs w:val="24"/>
                  <w:lang w:val="en-US"/>
                </w:rPr>
                <w:t xml:space="preserve">, M. M., Hassan, A. H., Alkhouri, N., Al-Badri, M. R., Gardner, H., Eldib, A. H., &amp; Eid, E. A. (2021). Prevalence of and risk factors for non-alcoholic fatty liver disease (NAFLD) and fibrosis among young adults in Egypt. </w:t>
              </w:r>
              <w:r w:rsidRPr="00C54BB2">
                <w:rPr>
                  <w:rFonts w:cs="Times New Roman"/>
                  <w:szCs w:val="24"/>
                </w:rPr>
                <w:t xml:space="preserve">BMJ Open </w:t>
              </w:r>
              <w:proofErr w:type="spellStart"/>
              <w:r w:rsidRPr="00C54BB2">
                <w:rPr>
                  <w:rFonts w:cs="Times New Roman"/>
                  <w:szCs w:val="24"/>
                </w:rPr>
                <w:t>Gastroenterology</w:t>
              </w:r>
              <w:proofErr w:type="spellEnd"/>
              <w:r w:rsidRPr="00C54BB2">
                <w:rPr>
                  <w:rFonts w:cs="Times New Roman"/>
                  <w:szCs w:val="24"/>
                </w:rPr>
                <w:t>, 8(1), e000780. https://doi.org/10.1136/bmjgast-2021-000780</w:t>
              </w:r>
            </w:p>
            <w:p w14:paraId="2B93CFA5" w14:textId="77777777" w:rsidR="00C54BB2" w:rsidRPr="00C54BB2" w:rsidRDefault="00C54BB2" w:rsidP="00C54BB2">
              <w:pPr>
                <w:pStyle w:val="Bibliografa"/>
                <w:spacing w:line="276" w:lineRule="auto"/>
                <w:ind w:firstLine="709"/>
                <w:jc w:val="both"/>
                <w:rPr>
                  <w:rFonts w:cs="Times New Roman"/>
                  <w:szCs w:val="24"/>
                </w:rPr>
              </w:pPr>
              <w:r w:rsidRPr="00C54BB2">
                <w:rPr>
                  <w:rFonts w:cs="Times New Roman"/>
                  <w:szCs w:val="24"/>
                </w:rPr>
                <w:t xml:space="preserve">Valbuena-Gregorio, E., López-Mata, M. A., Olivas-Aguirre, F. J., Márquez-Ibarra, A. A., Armenta-Guirado, B. J., &amp; Arreguín Coronado, A. (2025). </w:t>
              </w:r>
              <w:r w:rsidRPr="00C54BB2">
                <w:rPr>
                  <w:rFonts w:cs="Times New Roman"/>
                  <w:szCs w:val="24"/>
                  <w:lang w:val="en-US"/>
                </w:rPr>
                <w:t xml:space="preserve">Association of liver enzymes and lipid profile with body fat distribution in Mexican university students. </w:t>
              </w:r>
              <w:r w:rsidRPr="00C54BB2">
                <w:rPr>
                  <w:rFonts w:cs="Times New Roman"/>
                  <w:szCs w:val="24"/>
                </w:rPr>
                <w:t>Archivos Latinoamericanos de Nutrición, 75(3), 163–174. https://doi.org/10.37527/2025.75.3.002</w:t>
              </w:r>
            </w:p>
            <w:p w14:paraId="52924331" w14:textId="77777777" w:rsidR="00C54BB2" w:rsidRPr="00C54BB2" w:rsidRDefault="00C54BB2" w:rsidP="00C54BB2">
              <w:pPr>
                <w:pStyle w:val="Bibliografa"/>
                <w:spacing w:line="276" w:lineRule="auto"/>
                <w:ind w:firstLine="709"/>
                <w:jc w:val="both"/>
                <w:rPr>
                  <w:rFonts w:cs="Times New Roman"/>
                  <w:szCs w:val="24"/>
                  <w:lang w:val="en-US"/>
                </w:rPr>
              </w:pPr>
              <w:r w:rsidRPr="00C54BB2">
                <w:rPr>
                  <w:rFonts w:cs="Times New Roman"/>
                  <w:szCs w:val="24"/>
                </w:rPr>
                <w:t xml:space="preserve">Xuan, Y., Wu, D., Zhang, Q., </w:t>
              </w:r>
              <w:proofErr w:type="spellStart"/>
              <w:r w:rsidRPr="00C54BB2">
                <w:rPr>
                  <w:rFonts w:cs="Times New Roman"/>
                  <w:szCs w:val="24"/>
                </w:rPr>
                <w:t>Yu</w:t>
              </w:r>
              <w:proofErr w:type="spellEnd"/>
              <w:r w:rsidRPr="00C54BB2">
                <w:rPr>
                  <w:rFonts w:cs="Times New Roman"/>
                  <w:szCs w:val="24"/>
                </w:rPr>
                <w:t xml:space="preserve">, Z., </w:t>
              </w:r>
              <w:proofErr w:type="spellStart"/>
              <w:r w:rsidRPr="00C54BB2">
                <w:rPr>
                  <w:rFonts w:cs="Times New Roman"/>
                  <w:szCs w:val="24"/>
                </w:rPr>
                <w:t>Yu</w:t>
              </w:r>
              <w:proofErr w:type="spellEnd"/>
              <w:r w:rsidRPr="00C54BB2">
                <w:rPr>
                  <w:rFonts w:cs="Times New Roman"/>
                  <w:szCs w:val="24"/>
                </w:rPr>
                <w:t xml:space="preserve">, J., &amp; Zhou, D. (2024). </w:t>
              </w:r>
              <w:r w:rsidRPr="00C54BB2">
                <w:rPr>
                  <w:rFonts w:cs="Times New Roman"/>
                  <w:szCs w:val="24"/>
                  <w:lang w:val="en-US"/>
                </w:rPr>
                <w:t>Elevated ALT/AST ratio as a marker for NAFLD risk and severity: Insights from a cross-sectional analysis in the United States. Frontiers in Endocrinology, 15, 1457598. https://doi.org/10.3389/fendo.2024.1457598</w:t>
              </w:r>
            </w:p>
            <w:p w14:paraId="5B015FAF" w14:textId="3E200C79" w:rsidR="003D4D92" w:rsidRPr="00220601" w:rsidRDefault="00C54BB2" w:rsidP="00C54BB2">
              <w:pPr>
                <w:pStyle w:val="Bibliografa"/>
                <w:spacing w:line="276" w:lineRule="auto"/>
                <w:ind w:firstLine="709"/>
                <w:jc w:val="both"/>
                <w:rPr>
                  <w:rFonts w:cs="Times New Roman"/>
                  <w:szCs w:val="24"/>
                </w:rPr>
              </w:pPr>
              <w:proofErr w:type="spellStart"/>
              <w:r w:rsidRPr="00C54BB2">
                <w:rPr>
                  <w:rFonts w:cs="Times New Roman"/>
                  <w:szCs w:val="24"/>
                  <w:lang w:val="en-US"/>
                </w:rPr>
                <w:t>Younossi</w:t>
              </w:r>
              <w:proofErr w:type="spellEnd"/>
              <w:r w:rsidRPr="00C54BB2">
                <w:rPr>
                  <w:rFonts w:cs="Times New Roman"/>
                  <w:szCs w:val="24"/>
                  <w:lang w:val="en-US"/>
                </w:rPr>
                <w:t xml:space="preserve">, Z. M., </w:t>
              </w:r>
              <w:proofErr w:type="spellStart"/>
              <w:r w:rsidRPr="00C54BB2">
                <w:rPr>
                  <w:rFonts w:cs="Times New Roman"/>
                  <w:szCs w:val="24"/>
                  <w:lang w:val="en-US"/>
                </w:rPr>
                <w:t>Golabi</w:t>
              </w:r>
              <w:proofErr w:type="spellEnd"/>
              <w:r w:rsidRPr="00C54BB2">
                <w:rPr>
                  <w:rFonts w:cs="Times New Roman"/>
                  <w:szCs w:val="24"/>
                  <w:lang w:val="en-US"/>
                </w:rPr>
                <w:t xml:space="preserve">, P., Paik, J. M., Henry, A., Van Dongen, C., &amp; Henry, L. (2023). The global epidemiology of nonalcoholic fatty liver disease (NAFLD) and nonalcoholic steatohepatitis (NASH): A systematic review. </w:t>
              </w:r>
              <w:proofErr w:type="spellStart"/>
              <w:r w:rsidRPr="00C54BB2">
                <w:rPr>
                  <w:rFonts w:cs="Times New Roman"/>
                  <w:szCs w:val="24"/>
                </w:rPr>
                <w:t>Hepatology</w:t>
              </w:r>
              <w:proofErr w:type="spellEnd"/>
              <w:r w:rsidRPr="00C54BB2">
                <w:rPr>
                  <w:rFonts w:cs="Times New Roman"/>
                  <w:szCs w:val="24"/>
                </w:rPr>
                <w:t>, 77(4), 1335–1347. https://doi.org/10.1097/HEP.0000000000000004</w:t>
              </w:r>
            </w:p>
          </w:sdtContent>
        </w:sdt>
      </w:sdtContent>
    </w:sdt>
    <w:p w14:paraId="5EC0B1C3" w14:textId="77777777" w:rsidR="003D4D92" w:rsidRPr="00220601" w:rsidRDefault="003D4D92" w:rsidP="00220601">
      <w:pPr>
        <w:spacing w:line="276" w:lineRule="auto"/>
        <w:jc w:val="both"/>
        <w:rPr>
          <w:rFonts w:cs="Times New Roman"/>
          <w:szCs w:val="24"/>
        </w:rPr>
      </w:pPr>
    </w:p>
    <w:p w14:paraId="217062FA" w14:textId="77777777" w:rsidR="003D4D92" w:rsidRPr="00220601" w:rsidRDefault="003D4D92" w:rsidP="00220601">
      <w:pPr>
        <w:spacing w:line="276" w:lineRule="auto"/>
        <w:jc w:val="both"/>
        <w:rPr>
          <w:rFonts w:cs="Times New Roman"/>
          <w:szCs w:val="24"/>
        </w:rPr>
      </w:pPr>
      <w:r w:rsidRPr="00220601">
        <w:rPr>
          <w:rFonts w:cs="Times New Roman"/>
          <w:b/>
          <w:bCs/>
          <w:szCs w:val="24"/>
        </w:rPr>
        <w:t>Conflicto de Intereses:</w:t>
      </w:r>
      <w:r w:rsidRPr="00220601">
        <w:rPr>
          <w:rFonts w:cs="Times New Roman"/>
          <w:szCs w:val="24"/>
        </w:rPr>
        <w:t xml:space="preserve"> Los autores afirman que no existen conflictos de intereses en este estudio y que se han seguido éticamente los procesos establecidos por esta revista. Además, aseguran que este trabajo no ha sido publicado parcial ni totalmente en ninguna otra revista.</w:t>
      </w:r>
    </w:p>
    <w:p w14:paraId="6F42C31C" w14:textId="77777777" w:rsidR="004F3D13" w:rsidRPr="00220601" w:rsidRDefault="004F3D13" w:rsidP="00220601">
      <w:pPr>
        <w:spacing w:line="276" w:lineRule="auto"/>
        <w:jc w:val="both"/>
        <w:rPr>
          <w:rFonts w:cs="Times New Roman"/>
          <w:szCs w:val="24"/>
        </w:rPr>
      </w:pPr>
    </w:p>
    <w:p w14:paraId="41F1BD6D" w14:textId="77777777" w:rsidR="004F3D13" w:rsidRPr="00220601" w:rsidRDefault="004F3D13" w:rsidP="00220601">
      <w:pPr>
        <w:spacing w:line="276" w:lineRule="auto"/>
        <w:jc w:val="both"/>
        <w:rPr>
          <w:rFonts w:cs="Times New Roman"/>
          <w:szCs w:val="24"/>
        </w:rPr>
      </w:pPr>
      <w:r w:rsidRPr="00220601">
        <w:rPr>
          <w:rFonts w:cs="Times New Roman"/>
          <w:b/>
          <w:bCs/>
          <w:szCs w:val="24"/>
        </w:rPr>
        <w:t>FINANCIAMIENTO</w:t>
      </w:r>
      <w:r w:rsidRPr="00220601">
        <w:rPr>
          <w:rFonts w:cs="Times New Roman"/>
          <w:szCs w:val="24"/>
        </w:rPr>
        <w:br/>
        <w:t>Los autores no recibieron financiamiento para el desarrollo de esta investigación.</w:t>
      </w:r>
    </w:p>
    <w:p w14:paraId="6F91E231" w14:textId="77777777" w:rsidR="003D4D92" w:rsidRPr="00220601" w:rsidRDefault="003D4D92" w:rsidP="00220601">
      <w:pPr>
        <w:spacing w:line="276" w:lineRule="auto"/>
        <w:jc w:val="both"/>
        <w:rPr>
          <w:rFonts w:cs="Times New Roman"/>
          <w:szCs w:val="24"/>
        </w:rPr>
      </w:pPr>
    </w:p>
    <w:p w14:paraId="704403BD" w14:textId="77777777" w:rsidR="00C51CE6" w:rsidRPr="00220601" w:rsidRDefault="003D4D92" w:rsidP="00220601">
      <w:pPr>
        <w:spacing w:line="276" w:lineRule="auto"/>
        <w:jc w:val="both"/>
        <w:rPr>
          <w:rFonts w:cs="Times New Roman"/>
          <w:szCs w:val="24"/>
        </w:rPr>
      </w:pPr>
      <w:r w:rsidRPr="00220601">
        <w:rPr>
          <w:rFonts w:cs="Times New Roman"/>
          <w:b/>
          <w:bCs/>
          <w:szCs w:val="24"/>
        </w:rPr>
        <w:t>CONTRIBUCIÓN DE AUTORÍA</w:t>
      </w:r>
      <w:r w:rsidRPr="00220601">
        <w:rPr>
          <w:rFonts w:cs="Times New Roman"/>
          <w:szCs w:val="24"/>
        </w:rPr>
        <w:t xml:space="preserve">: </w:t>
      </w:r>
    </w:p>
    <w:p w14:paraId="31FC3C4C" w14:textId="7D07BAF6" w:rsidR="005709B7" w:rsidRDefault="00C51CE6" w:rsidP="00220601">
      <w:pPr>
        <w:spacing w:line="276" w:lineRule="auto"/>
        <w:jc w:val="both"/>
        <w:rPr>
          <w:rFonts w:cs="Times New Roman"/>
          <w:szCs w:val="24"/>
        </w:rPr>
      </w:pPr>
      <w:r w:rsidRPr="00220601">
        <w:rPr>
          <w:rFonts w:cs="Times New Roman"/>
          <w:szCs w:val="24"/>
        </w:rPr>
        <w:t xml:space="preserve">Nombres de autores e iniciales: </w:t>
      </w:r>
    </w:p>
    <w:p w14:paraId="706B6559" w14:textId="7C537654" w:rsidR="00C54BB2" w:rsidRPr="00C54BB2" w:rsidRDefault="00C54BB2" w:rsidP="00C54BB2">
      <w:pPr>
        <w:spacing w:line="276" w:lineRule="auto"/>
        <w:jc w:val="both"/>
        <w:rPr>
          <w:rFonts w:cs="Times New Roman"/>
          <w:szCs w:val="24"/>
        </w:rPr>
      </w:pPr>
      <w:r w:rsidRPr="00C54BB2">
        <w:rPr>
          <w:rFonts w:cs="Times New Roman"/>
          <w:szCs w:val="24"/>
        </w:rPr>
        <w:t>Willan Antonio Muñoz Chamba</w:t>
      </w:r>
      <w:r w:rsidR="00E804CC">
        <w:rPr>
          <w:rFonts w:cs="Times New Roman"/>
          <w:szCs w:val="24"/>
        </w:rPr>
        <w:t xml:space="preserve"> (WAMC)</w:t>
      </w:r>
    </w:p>
    <w:p w14:paraId="312F4043" w14:textId="023B92A8" w:rsidR="00C54BB2" w:rsidRPr="00C54BB2" w:rsidRDefault="00C54BB2" w:rsidP="00C54BB2">
      <w:pPr>
        <w:spacing w:line="276" w:lineRule="auto"/>
        <w:jc w:val="both"/>
        <w:rPr>
          <w:rFonts w:cs="Times New Roman"/>
          <w:szCs w:val="24"/>
        </w:rPr>
      </w:pPr>
      <w:r w:rsidRPr="00C54BB2">
        <w:rPr>
          <w:rFonts w:cs="Times New Roman"/>
          <w:szCs w:val="24"/>
        </w:rPr>
        <w:t>Emilio José Jaramillo Jiménez</w:t>
      </w:r>
      <w:r w:rsidR="00E804CC">
        <w:rPr>
          <w:rFonts w:cs="Times New Roman"/>
          <w:szCs w:val="24"/>
        </w:rPr>
        <w:t xml:space="preserve"> (EJJJ)</w:t>
      </w:r>
    </w:p>
    <w:p w14:paraId="650821FB" w14:textId="5C4070EC" w:rsidR="00C54BB2" w:rsidRPr="00C54BB2" w:rsidRDefault="00C54BB2" w:rsidP="00C54BB2">
      <w:pPr>
        <w:spacing w:line="276" w:lineRule="auto"/>
        <w:jc w:val="both"/>
        <w:rPr>
          <w:rFonts w:cs="Times New Roman"/>
          <w:szCs w:val="24"/>
        </w:rPr>
      </w:pPr>
      <w:r w:rsidRPr="00C54BB2">
        <w:rPr>
          <w:rFonts w:cs="Times New Roman"/>
          <w:szCs w:val="24"/>
        </w:rPr>
        <w:t>Merlina Belén Moreno Cortez</w:t>
      </w:r>
      <w:r w:rsidR="00E804CC">
        <w:rPr>
          <w:rFonts w:cs="Times New Roman"/>
          <w:szCs w:val="24"/>
        </w:rPr>
        <w:t xml:space="preserve"> (MBMC)</w:t>
      </w:r>
    </w:p>
    <w:p w14:paraId="45674689" w14:textId="4D5B173F" w:rsidR="00C54BB2" w:rsidRPr="00E804CC" w:rsidRDefault="00C54BB2" w:rsidP="00C54BB2">
      <w:pPr>
        <w:spacing w:line="276" w:lineRule="auto"/>
        <w:jc w:val="both"/>
        <w:rPr>
          <w:rFonts w:cs="Times New Roman"/>
          <w:szCs w:val="24"/>
          <w:lang w:val="en-US"/>
        </w:rPr>
      </w:pPr>
      <w:r w:rsidRPr="00E804CC">
        <w:rPr>
          <w:rFonts w:cs="Times New Roman"/>
          <w:szCs w:val="24"/>
          <w:lang w:val="en-US"/>
        </w:rPr>
        <w:t>Andrea Michelle Silva Suárez</w:t>
      </w:r>
      <w:r w:rsidR="00E804CC">
        <w:rPr>
          <w:rFonts w:cs="Times New Roman"/>
          <w:szCs w:val="24"/>
          <w:lang w:val="en-US"/>
        </w:rPr>
        <w:t xml:space="preserve"> (AMSS)</w:t>
      </w:r>
    </w:p>
    <w:p w14:paraId="66EDBE05" w14:textId="52E09AD1" w:rsidR="00C54BB2" w:rsidRPr="00E804CC" w:rsidRDefault="00C54BB2" w:rsidP="00C54BB2">
      <w:pPr>
        <w:spacing w:line="276" w:lineRule="auto"/>
        <w:jc w:val="both"/>
        <w:rPr>
          <w:rFonts w:cs="Times New Roman"/>
          <w:szCs w:val="24"/>
          <w:lang w:val="en-US"/>
        </w:rPr>
      </w:pPr>
      <w:r w:rsidRPr="00E804CC">
        <w:rPr>
          <w:rFonts w:cs="Times New Roman"/>
          <w:szCs w:val="24"/>
          <w:lang w:val="en-US"/>
        </w:rPr>
        <w:t>Lindsay Janine Vinces Crespo</w:t>
      </w:r>
      <w:r w:rsidR="00E804CC" w:rsidRPr="00E804CC">
        <w:rPr>
          <w:rFonts w:cs="Times New Roman"/>
          <w:szCs w:val="24"/>
          <w:lang w:val="en-US"/>
        </w:rPr>
        <w:t xml:space="preserve"> (LJVC)</w:t>
      </w:r>
    </w:p>
    <w:p w14:paraId="4C8ADFAF" w14:textId="009A1A8F" w:rsidR="00922B3B" w:rsidRDefault="00C54BB2" w:rsidP="00C54BB2">
      <w:pPr>
        <w:spacing w:line="276" w:lineRule="auto"/>
        <w:jc w:val="both"/>
        <w:rPr>
          <w:rFonts w:cs="Times New Roman"/>
          <w:szCs w:val="24"/>
        </w:rPr>
      </w:pPr>
      <w:r w:rsidRPr="00C54BB2">
        <w:rPr>
          <w:rFonts w:cs="Times New Roman"/>
          <w:szCs w:val="24"/>
        </w:rPr>
        <w:t>Danilo del Jesús Yumbla Lindao</w:t>
      </w:r>
      <w:r w:rsidR="00E804CC">
        <w:rPr>
          <w:rFonts w:cs="Times New Roman"/>
          <w:szCs w:val="24"/>
        </w:rPr>
        <w:t xml:space="preserve"> (DJYL)</w:t>
      </w:r>
    </w:p>
    <w:p w14:paraId="1B21E385" w14:textId="77777777" w:rsidR="00E804CC" w:rsidRPr="00220601" w:rsidRDefault="00E804CC" w:rsidP="00C54BB2">
      <w:pPr>
        <w:spacing w:line="276" w:lineRule="auto"/>
        <w:jc w:val="both"/>
        <w:rPr>
          <w:rFonts w:cs="Times New Roman"/>
          <w:szCs w:val="24"/>
        </w:rPr>
      </w:pPr>
    </w:p>
    <w:p w14:paraId="06E4FCA7"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Conceptualización: </w:t>
      </w:r>
      <w:r>
        <w:rPr>
          <w:rFonts w:cs="Times New Roman"/>
          <w:szCs w:val="24"/>
          <w:lang w:val="es-419"/>
        </w:rPr>
        <w:t>(WAMC)</w:t>
      </w:r>
    </w:p>
    <w:p w14:paraId="19BD36A3"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Curación de datos: </w:t>
      </w:r>
    </w:p>
    <w:p w14:paraId="0AE5C5E3"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Análisis formal: </w:t>
      </w:r>
    </w:p>
    <w:p w14:paraId="2BE5518F"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lastRenderedPageBreak/>
        <w:t xml:space="preserve">Adquisición de fondos: </w:t>
      </w:r>
    </w:p>
    <w:p w14:paraId="1776A85A"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Investigación: </w:t>
      </w:r>
      <w:r>
        <w:rPr>
          <w:rFonts w:ascii="Times New Roman" w:eastAsia="Times New Roman" w:hAnsi="Times New Roman" w:cs="Times New Roman"/>
          <w:szCs w:val="24"/>
        </w:rPr>
        <w:t>(TODOS LOS AUTORES)</w:t>
      </w:r>
    </w:p>
    <w:p w14:paraId="3E255086"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Metodología: </w:t>
      </w:r>
      <w:r>
        <w:rPr>
          <w:rFonts w:ascii="Times New Roman" w:eastAsia="Times New Roman" w:hAnsi="Times New Roman" w:cs="Times New Roman"/>
          <w:szCs w:val="24"/>
        </w:rPr>
        <w:t>(TODOS LOS AUTORES)</w:t>
      </w:r>
    </w:p>
    <w:p w14:paraId="388EF7A0"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Administración del proyecto: </w:t>
      </w:r>
      <w:r>
        <w:rPr>
          <w:rFonts w:cs="Times New Roman"/>
          <w:szCs w:val="24"/>
          <w:lang w:val="es-419"/>
        </w:rPr>
        <w:t>(WAMC)</w:t>
      </w:r>
    </w:p>
    <w:p w14:paraId="5FBE91E2"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Recursos: </w:t>
      </w:r>
    </w:p>
    <w:p w14:paraId="2CEF865C"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Software: </w:t>
      </w:r>
    </w:p>
    <w:p w14:paraId="7C02498A" w14:textId="0A8D4F8B"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Supervisión: </w:t>
      </w:r>
      <w:r w:rsidRPr="00732C7D">
        <w:rPr>
          <w:rFonts w:cs="Times New Roman"/>
          <w:szCs w:val="24"/>
          <w:lang w:val="en-US"/>
        </w:rPr>
        <w:t>(</w:t>
      </w:r>
      <w:r>
        <w:rPr>
          <w:rFonts w:cs="Times New Roman"/>
          <w:szCs w:val="24"/>
        </w:rPr>
        <w:t>DJYL</w:t>
      </w:r>
      <w:r>
        <w:rPr>
          <w:rFonts w:cs="Times New Roman"/>
          <w:szCs w:val="24"/>
          <w:lang w:val="en-US"/>
        </w:rPr>
        <w:t>)</w:t>
      </w:r>
    </w:p>
    <w:p w14:paraId="7ECC3654"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Validación: </w:t>
      </w:r>
    </w:p>
    <w:p w14:paraId="7B4D36D0"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Visualización: </w:t>
      </w:r>
    </w:p>
    <w:p w14:paraId="5C3CC4F8" w14:textId="77777777" w:rsidR="00223B50" w:rsidRPr="00220601"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Redacción – Borrador original: </w:t>
      </w:r>
      <w:r>
        <w:rPr>
          <w:rFonts w:ascii="Times New Roman" w:eastAsia="Times New Roman" w:hAnsi="Times New Roman" w:cs="Times New Roman"/>
          <w:szCs w:val="24"/>
        </w:rPr>
        <w:t>(TODOS LOS AUTORES)</w:t>
      </w:r>
    </w:p>
    <w:p w14:paraId="0019C404" w14:textId="4EE6358F" w:rsidR="006F2C2C" w:rsidRPr="00223B50" w:rsidRDefault="00223B50" w:rsidP="00223B50">
      <w:pPr>
        <w:pStyle w:val="Prrafodelista"/>
        <w:numPr>
          <w:ilvl w:val="0"/>
          <w:numId w:val="24"/>
        </w:numPr>
        <w:spacing w:after="0" w:line="276" w:lineRule="auto"/>
        <w:ind w:left="426"/>
        <w:jc w:val="both"/>
        <w:rPr>
          <w:rFonts w:ascii="Times New Roman" w:eastAsia="Times New Roman" w:hAnsi="Times New Roman" w:cs="Times New Roman"/>
          <w:szCs w:val="24"/>
        </w:rPr>
      </w:pPr>
      <w:r w:rsidRPr="00220601">
        <w:rPr>
          <w:rFonts w:ascii="Times New Roman" w:eastAsia="Times New Roman" w:hAnsi="Times New Roman" w:cs="Times New Roman"/>
          <w:szCs w:val="24"/>
        </w:rPr>
        <w:t xml:space="preserve">Redacción – Revisión y edición: </w:t>
      </w:r>
      <w:r>
        <w:rPr>
          <w:rFonts w:ascii="Times New Roman" w:eastAsia="Times New Roman" w:hAnsi="Times New Roman" w:cs="Times New Roman"/>
          <w:szCs w:val="24"/>
        </w:rPr>
        <w:t>(TODOS LOS AUTORES)</w:t>
      </w:r>
    </w:p>
    <w:sectPr w:rsidR="006F2C2C" w:rsidRPr="00223B50" w:rsidSect="00575F8E">
      <w:headerReference w:type="default" r:id="rId25"/>
      <w:footerReference w:type="default" r:id="rId26"/>
      <w:pgSz w:w="12240" w:h="15840"/>
      <w:pgMar w:top="1560" w:right="1701" w:bottom="1417" w:left="1701" w:header="0"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D05B6C" w14:textId="77777777" w:rsidR="00575F8E" w:rsidRDefault="00575F8E">
      <w:r>
        <w:separator/>
      </w:r>
    </w:p>
  </w:endnote>
  <w:endnote w:type="continuationSeparator" w:id="0">
    <w:p w14:paraId="05CD2FB6" w14:textId="77777777" w:rsidR="00575F8E" w:rsidRDefault="00575F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805085897"/>
      <w:docPartObj>
        <w:docPartGallery w:val="Page Numbers (Bottom of Page)"/>
        <w:docPartUnique/>
      </w:docPartObj>
    </w:sdtPr>
    <w:sdtContent>
      <w:sdt>
        <w:sdtPr>
          <w:rPr>
            <w:rFonts w:asciiTheme="majorHAnsi" w:eastAsiaTheme="majorEastAsia" w:hAnsiTheme="majorHAnsi" w:cstheme="majorBidi"/>
          </w:rPr>
          <w:id w:val="1806425445"/>
        </w:sdtPr>
        <w:sdtContent>
          <w:p w14:paraId="472E1F38" w14:textId="6A268599" w:rsidR="00373E80" w:rsidRDefault="00373E80">
            <w:pPr>
              <w:rPr>
                <w:rFonts w:asciiTheme="majorHAnsi" w:eastAsiaTheme="majorEastAsia" w:hAnsiTheme="majorHAnsi" w:cstheme="majorBidi"/>
              </w:rPr>
            </w:pPr>
            <w:r>
              <w:rPr>
                <w:noProof/>
              </w:rPr>
              <mc:AlternateContent>
                <mc:Choice Requires="wps">
                  <w:drawing>
                    <wp:anchor distT="0" distB="0" distL="114300" distR="114300" simplePos="0" relativeHeight="251675651" behindDoc="0" locked="0" layoutInCell="1" hidden="0" allowOverlap="1" wp14:anchorId="3E9EDAC5" wp14:editId="5A4029B2">
                      <wp:simplePos x="0" y="0"/>
                      <wp:positionH relativeFrom="column">
                        <wp:posOffset>-753110</wp:posOffset>
                      </wp:positionH>
                      <wp:positionV relativeFrom="paragraph">
                        <wp:posOffset>172085</wp:posOffset>
                      </wp:positionV>
                      <wp:extent cx="2301240" cy="259080"/>
                      <wp:effectExtent l="0" t="0" r="0" b="7620"/>
                      <wp:wrapSquare wrapText="bothSides"/>
                      <wp:docPr id="150954093" name="Rectángulo 150954093"/>
                      <wp:cNvGraphicFramePr/>
                      <a:graphic xmlns:a="http://schemas.openxmlformats.org/drawingml/2006/main">
                        <a:graphicData uri="http://schemas.microsoft.com/office/word/2010/wordprocessingShape">
                          <wps:wsp>
                            <wps:cNvSpPr/>
                            <wps:spPr>
                              <a:xfrm>
                                <a:off x="0" y="0"/>
                                <a:ext cx="2301240" cy="259080"/>
                              </a:xfrm>
                              <a:prstGeom prst="rect">
                                <a:avLst/>
                              </a:prstGeom>
                              <a:noFill/>
                              <a:ln>
                                <a:noFill/>
                              </a:ln>
                            </wps:spPr>
                            <wps:txbx>
                              <w:txbxContent>
                                <w:p w14:paraId="60D49BFB" w14:textId="57A40095" w:rsidR="00373E80" w:rsidRDefault="00373E80" w:rsidP="00373E80">
                                  <w:pPr>
                                    <w:textDirection w:val="btLr"/>
                                    <w:rPr>
                                      <w:rFonts w:eastAsia="Times New Roman" w:cs="Times New Roman"/>
                                      <w:b/>
                                      <w:bCs/>
                                      <w:color w:val="04073A"/>
                                      <w:sz w:val="20"/>
                                      <w:lang w:val="es-MX"/>
                                    </w:rPr>
                                  </w:pPr>
                                  <w:r w:rsidRPr="000004AD">
                                    <w:rPr>
                                      <w:rFonts w:eastAsia="Times New Roman" w:cs="Times New Roman"/>
                                      <w:b/>
                                      <w:bCs/>
                                      <w:color w:val="04073A"/>
                                      <w:sz w:val="20"/>
                                      <w:lang w:val="es-MX"/>
                                    </w:rPr>
                                    <w:t>Doi:</w:t>
                                  </w:r>
                                  <w:r w:rsidRPr="00C83068">
                                    <w:rPr>
                                      <w:rFonts w:eastAsia="Times New Roman" w:cs="Times New Roman"/>
                                      <w:color w:val="000000" w:themeColor="text1"/>
                                      <w:sz w:val="20"/>
                                      <w:lang w:val="es-MX"/>
                                    </w:rPr>
                                    <w:t xml:space="preserve"> </w:t>
                                  </w:r>
                                  <w:hyperlink r:id="rId1" w:history="1">
                                    <w:r w:rsidR="000004AD" w:rsidRPr="003D37AE">
                                      <w:rPr>
                                        <w:rStyle w:val="Hipervnculo"/>
                                        <w:rFonts w:eastAsia="Times New Roman" w:cs="Times New Roman"/>
                                        <w:sz w:val="20"/>
                                        <w:lang w:val="es-MX"/>
                                      </w:rPr>
                                      <w:t>https://doi.org/10.63688/p3100y43</w:t>
                                    </w:r>
                                  </w:hyperlink>
                                  <w:r w:rsidR="000004AD">
                                    <w:rPr>
                                      <w:rFonts w:eastAsia="Times New Roman" w:cs="Times New Roman"/>
                                      <w:color w:val="000000" w:themeColor="text1"/>
                                      <w:sz w:val="20"/>
                                      <w:lang w:val="es-MX"/>
                                    </w:rPr>
                                    <w:t xml:space="preserve"> </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E9EDAC5" id="Rectángulo 150954093" o:spid="_x0000_s1029" style="position:absolute;margin-left:-59.3pt;margin-top:13.55pt;width:181.2pt;height:20.4pt;z-index:2516756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" filled="f" stroked="f">
                      <v:textbox inset="2.53958mm,1.2694mm,2.53958mm,1.2694mm">
                        <w:txbxContent>
                          <w:p w14:paraId="60D49BFB" w14:textId="57A40095" w:rsidR="00373E80" w:rsidRDefault="00373E80" w:rsidP="00373E80">
                            <w:pPr>
                              <w:textDirection w:val="btLr"/>
                              <w:rPr>
                                <w:rFonts w:eastAsia="Times New Roman" w:cs="Times New Roman"/>
                                <w:b/>
                                <w:bCs/>
                                <w:color w:val="04073A"/>
                                <w:sz w:val="20"/>
                                <w:lang w:val="es-MX"/>
                              </w:rPr>
                            </w:pPr>
                            <w:r w:rsidRPr="000004AD">
                              <w:rPr>
                                <w:rFonts w:eastAsia="Times New Roman" w:cs="Times New Roman"/>
                                <w:b/>
                                <w:bCs/>
                                <w:color w:val="04073A"/>
                                <w:sz w:val="20"/>
                                <w:lang w:val="es-MX"/>
                              </w:rPr>
                              <w:t>Doi:</w:t>
                            </w:r>
                            <w:r w:rsidRPr="00C83068">
                              <w:rPr>
                                <w:rFonts w:eastAsia="Times New Roman" w:cs="Times New Roman"/>
                                <w:color w:val="000000" w:themeColor="text1"/>
                                <w:sz w:val="20"/>
                                <w:lang w:val="es-MX"/>
                              </w:rPr>
                              <w:t xml:space="preserve"> </w:t>
                            </w:r>
                            <w:hyperlink r:id="rId2" w:history="1">
                              <w:r w:rsidR="000004AD" w:rsidRPr="003D37AE">
                                <w:rPr>
                                  <w:rStyle w:val="Hipervnculo"/>
                                  <w:rFonts w:eastAsia="Times New Roman" w:cs="Times New Roman"/>
                                  <w:sz w:val="20"/>
                                  <w:lang w:val="es-MX"/>
                                </w:rPr>
                                <w:t>https://doi.org/10.63688/p3100y43</w:t>
                              </w:r>
                            </w:hyperlink>
                            <w:r w:rsidR="000004AD">
                              <w:rPr>
                                <w:rFonts w:eastAsia="Times New Roman" w:cs="Times New Roman"/>
                                <w:color w:val="000000" w:themeColor="text1"/>
                                <w:sz w:val="20"/>
                                <w:lang w:val="es-MX"/>
                              </w:rPr>
                              <w:t xml:space="preserve"> </w:t>
                            </w:r>
                          </w:p>
                        </w:txbxContent>
                      </v:textbox>
                      <w10:wrap type="square"/>
                    </v:rect>
                  </w:pict>
                </mc:Fallback>
              </mc:AlternateContent>
            </w:r>
            <w:r>
              <w:rPr>
                <w:rFonts w:eastAsia="Times New Roman" w:cs="Times New Roman"/>
                <w:b/>
                <w:bCs/>
                <w:noProof/>
                <w:szCs w:val="24"/>
              </w:rPr>
              <w:drawing>
                <wp:anchor distT="0" distB="0" distL="114300" distR="114300" simplePos="0" relativeHeight="251674627" behindDoc="0" locked="0" layoutInCell="1" allowOverlap="1" wp14:anchorId="1E3E30C6" wp14:editId="5AB12E0A">
                  <wp:simplePos x="0" y="0"/>
                  <wp:positionH relativeFrom="column">
                    <wp:posOffset>5130165</wp:posOffset>
                  </wp:positionH>
                  <wp:positionV relativeFrom="paragraph">
                    <wp:posOffset>-85023</wp:posOffset>
                  </wp:positionV>
                  <wp:extent cx="753110" cy="731520"/>
                  <wp:effectExtent l="0" t="0" r="8890" b="0"/>
                  <wp:wrapThrough wrapText="bothSides">
                    <wp:wrapPolygon edited="0">
                      <wp:start x="0" y="0"/>
                      <wp:lineTo x="0" y="20813"/>
                      <wp:lineTo x="21309" y="20813"/>
                      <wp:lineTo x="21309" y="0"/>
                      <wp:lineTo x="0" y="0"/>
                    </wp:wrapPolygon>
                  </wp:wrapThrough>
                  <wp:docPr id="1200534713" name="Imagen 6" descr="Gráfico, Gráfico radial&#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34713" name="Imagen 6" descr="Gráfico, Gráfico radial&#10;&#10;El contenido generado por IA puede ser incorrecto."/>
                          <pic:cNvPicPr>
                            <a:picLocks noChangeAspect="1" noChangeArrowheads="1"/>
                          </pic:cNvPicPr>
                        </pic:nvPicPr>
                        <pic:blipFill rotWithShape="1">
                          <a:blip r:embed="rId3">
                            <a:extLst>
                              <a:ext uri="{28A0092B-C50C-407E-A947-70E740481C1C}">
                                <a14:useLocalDpi xmlns:a14="http://schemas.microsoft.com/office/drawing/2010/main" val="0"/>
                              </a:ext>
                            </a:extLst>
                          </a:blip>
                          <a:srcRect l="24375" t="8907" r="22728" b="14043"/>
                          <a:stretch>
                            <a:fillRect/>
                          </a:stretch>
                        </pic:blipFill>
                        <pic:spPr bwMode="auto">
                          <a:xfrm>
                            <a:off x="0" y="0"/>
                            <a:ext cx="753110" cy="731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noProof/>
              </w:rPr>
              <mc:AlternateContent>
                <mc:Choice Requires="wps">
                  <w:drawing>
                    <wp:anchor distT="0" distB="0" distL="114300" distR="114300" simplePos="0" relativeHeight="251672579" behindDoc="0" locked="0" layoutInCell="1" allowOverlap="1" wp14:anchorId="11AE92D4" wp14:editId="6A6E3B46">
                      <wp:simplePos x="0" y="0"/>
                      <wp:positionH relativeFrom="margin">
                        <wp:align>center</wp:align>
                      </wp:positionH>
                      <wp:positionV relativeFrom="bottomMargin">
                        <wp:align>center</wp:align>
                      </wp:positionV>
                      <wp:extent cx="626745" cy="626745"/>
                      <wp:effectExtent l="0" t="0" r="1905" b="1905"/>
                      <wp:wrapNone/>
                      <wp:docPr id="1381357145" name="E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002060"/>
                              </a:solidFill>
                              <a:ln>
                                <a:noFill/>
                              </a:ln>
                            </wps:spPr>
                            <wps:txbx>
                              <w:txbxContent>
                                <w:p w14:paraId="71438ABB" w14:textId="77777777" w:rsidR="00373E80" w:rsidRDefault="00373E80">
                                  <w:pPr>
                                    <w:pStyle w:val="Piedepgina"/>
                                    <w:jc w:val="center"/>
                                    <w:rPr>
                                      <w:b/>
                                      <w:bCs/>
                                      <w:color w:val="FFFFFF" w:themeColor="background1"/>
                                      <w:sz w:val="32"/>
                                      <w:szCs w:val="32"/>
                                    </w:rPr>
                                  </w:pPr>
                                  <w:r>
                                    <w:rPr>
                                      <w:sz w:val="22"/>
                                    </w:rPr>
                                    <w:fldChar w:fldCharType="begin"/>
                                  </w:r>
                                  <w:r>
                                    <w:instrText>PAGE    \* MERGEFORMAT</w:instrText>
                                  </w:r>
                                  <w:r>
                                    <w:rPr>
                                      <w:sz w:val="22"/>
                                    </w:rPr>
                                    <w:fldChar w:fldCharType="separate"/>
                                  </w:r>
                                  <w:r>
                                    <w:rPr>
                                      <w:b/>
                                      <w:bCs/>
                                      <w:color w:val="FFFFFF" w:themeColor="background1"/>
                                      <w:sz w:val="32"/>
                                      <w:szCs w:val="32"/>
                                      <w:lang w:val="es-ES"/>
                                    </w:rPr>
                                    <w:t>2</w:t>
                                  </w:r>
                                  <w:r>
                                    <w:rPr>
                                      <w:b/>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oval w14:anchorId="11AE92D4" id="Elipse 7" o:spid="_x0000_s1030" style="position:absolute;margin-left:0;margin-top:0;width:49.35pt;height:49.35pt;z-index:251672579;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" fillcolor="#002060" stroked="f">
                      <v:textbox>
                        <w:txbxContent>
                          <w:p w14:paraId="71438ABB" w14:textId="77777777" w:rsidR="00373E80" w:rsidRDefault="00373E80">
                            <w:pPr>
                              <w:pStyle w:val="Piedepgina"/>
                              <w:jc w:val="center"/>
                              <w:rPr>
                                <w:b/>
                                <w:bCs/>
                                <w:color w:val="FFFFFF" w:themeColor="background1"/>
                                <w:sz w:val="32"/>
                                <w:szCs w:val="32"/>
                              </w:rPr>
                            </w:pPr>
                            <w:r>
                              <w:rPr>
                                <w:sz w:val="22"/>
                              </w:rPr>
                              <w:fldChar w:fldCharType="begin"/>
                            </w:r>
                            <w:r>
                              <w:instrText>PAGE    \* MERGEFORMAT</w:instrText>
                            </w:r>
                            <w:r>
                              <w:rPr>
                                <w:sz w:val="22"/>
                              </w:rPr>
                              <w:fldChar w:fldCharType="separate"/>
                            </w:r>
                            <w:r>
                              <w:rPr>
                                <w:b/>
                                <w:bCs/>
                                <w:color w:val="FFFFFF" w:themeColor="background1"/>
                                <w:sz w:val="32"/>
                                <w:szCs w:val="32"/>
                                <w:lang w:val="es-ES"/>
                              </w:rPr>
                              <w:t>2</w:t>
                            </w:r>
                            <w:r>
                              <w:rPr>
                                <w:b/>
                                <w:bCs/>
                                <w:color w:val="FFFFFF" w:themeColor="background1"/>
                                <w:sz w:val="32"/>
                                <w:szCs w:val="32"/>
                              </w:rPr>
                              <w:fldChar w:fldCharType="end"/>
                            </w:r>
                          </w:p>
                        </w:txbxContent>
                      </v:textbox>
                      <w10:wrap anchorx="margin" anchory="margin"/>
                    </v:oval>
                  </w:pict>
                </mc:Fallback>
              </mc:AlternateContent>
            </w:r>
          </w:p>
        </w:sdtContent>
      </w:sdt>
    </w:sdtContent>
  </w:sdt>
  <w:p w14:paraId="0019C409" w14:textId="00D2D59C" w:rsidR="006F2C2C" w:rsidRDefault="006F2C2C">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CE868" w14:textId="77777777" w:rsidR="00575F8E" w:rsidRDefault="00575F8E">
      <w:r>
        <w:separator/>
      </w:r>
    </w:p>
  </w:footnote>
  <w:footnote w:type="continuationSeparator" w:id="0">
    <w:p w14:paraId="10347C93" w14:textId="77777777" w:rsidR="00575F8E" w:rsidRDefault="00575F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C407" w14:textId="2782C099" w:rsidR="006F2C2C" w:rsidRDefault="00E57710">
    <w:pPr>
      <w:pBdr>
        <w:top w:val="nil"/>
        <w:left w:val="nil"/>
        <w:bottom w:val="nil"/>
        <w:right w:val="nil"/>
        <w:between w:val="nil"/>
      </w:pBdr>
      <w:tabs>
        <w:tab w:val="center" w:pos="4252"/>
        <w:tab w:val="right" w:pos="8504"/>
      </w:tabs>
      <w:ind w:left="-1701"/>
      <w:rPr>
        <w:color w:val="000000"/>
        <w:sz w:val="8"/>
        <w:szCs w:val="8"/>
      </w:rPr>
    </w:pPr>
    <w:r>
      <w:rPr>
        <w:noProof/>
      </w:rPr>
      <mc:AlternateContent>
        <mc:Choice Requires="wps">
          <w:drawing>
            <wp:anchor distT="0" distB="0" distL="114300" distR="114300" simplePos="0" relativeHeight="251666435" behindDoc="0" locked="0" layoutInCell="1" hidden="0" allowOverlap="1" wp14:anchorId="41EBDD5E" wp14:editId="28A1D45C">
              <wp:simplePos x="0" y="0"/>
              <wp:positionH relativeFrom="column">
                <wp:posOffset>-821055</wp:posOffset>
              </wp:positionH>
              <wp:positionV relativeFrom="paragraph">
                <wp:posOffset>641350</wp:posOffset>
              </wp:positionV>
              <wp:extent cx="2301240" cy="259080"/>
              <wp:effectExtent l="0" t="0" r="0" b="7620"/>
              <wp:wrapSquare wrapText="bothSides"/>
              <wp:docPr id="1" name="Rectángulo 1"/>
              <wp:cNvGraphicFramePr/>
              <a:graphic xmlns:a="http://schemas.openxmlformats.org/drawingml/2006/main">
                <a:graphicData uri="http://schemas.microsoft.com/office/word/2010/wordprocessingShape">
                  <wps:wsp>
                    <wps:cNvSpPr/>
                    <wps:spPr>
                      <a:xfrm>
                        <a:off x="0" y="0"/>
                        <a:ext cx="2301240" cy="259080"/>
                      </a:xfrm>
                      <a:prstGeom prst="rect">
                        <a:avLst/>
                      </a:prstGeom>
                      <a:noFill/>
                      <a:ln>
                        <a:noFill/>
                      </a:ln>
                    </wps:spPr>
                    <wps:txbx>
                      <w:txbxContent>
                        <w:p w14:paraId="7A1D3F4D" w14:textId="0C116078" w:rsidR="005C35B9" w:rsidRPr="005C35B9" w:rsidRDefault="005C35B9" w:rsidP="005C35B9">
                          <w:pPr>
                            <w:textDirection w:val="btLr"/>
                            <w:rPr>
                              <w:b/>
                              <w:bCs/>
                              <w:color w:val="04073A"/>
                            </w:rPr>
                          </w:pPr>
                          <w:r w:rsidRPr="00DD6CBE">
                            <w:rPr>
                              <w:rFonts w:eastAsia="Times New Roman" w:cs="Times New Roman"/>
                              <w:b/>
                              <w:bCs/>
                              <w:color w:val="04073A"/>
                              <w:sz w:val="20"/>
                            </w:rPr>
                            <w:t xml:space="preserve">Vol. </w:t>
                          </w:r>
                          <w:r w:rsidR="00DD6CBE" w:rsidRPr="00DD6CBE">
                            <w:rPr>
                              <w:rFonts w:eastAsia="Times New Roman" w:cs="Times New Roman"/>
                              <w:b/>
                              <w:bCs/>
                              <w:color w:val="04073A"/>
                              <w:sz w:val="20"/>
                            </w:rPr>
                            <w:t>3</w:t>
                          </w:r>
                          <w:r w:rsidRPr="00DD6CBE">
                            <w:rPr>
                              <w:rFonts w:eastAsia="Times New Roman" w:cs="Times New Roman"/>
                              <w:b/>
                              <w:bCs/>
                              <w:color w:val="04073A"/>
                              <w:sz w:val="20"/>
                            </w:rPr>
                            <w:t xml:space="preserve"> </w:t>
                          </w:r>
                          <w:proofErr w:type="spellStart"/>
                          <w:r w:rsidRPr="00DD6CBE">
                            <w:rPr>
                              <w:rFonts w:eastAsia="Times New Roman" w:cs="Times New Roman"/>
                              <w:b/>
                              <w:bCs/>
                              <w:color w:val="04073A"/>
                              <w:sz w:val="20"/>
                            </w:rPr>
                            <w:t>Num</w:t>
                          </w:r>
                          <w:proofErr w:type="spellEnd"/>
                          <w:r w:rsidRPr="00DD6CBE">
                            <w:rPr>
                              <w:rFonts w:eastAsia="Times New Roman" w:cs="Times New Roman"/>
                              <w:b/>
                              <w:bCs/>
                              <w:color w:val="04073A"/>
                              <w:sz w:val="20"/>
                            </w:rPr>
                            <w:t xml:space="preserve">. </w:t>
                          </w:r>
                          <w:r w:rsidR="00DD6CBE" w:rsidRPr="00DD6CBE">
                            <w:rPr>
                              <w:rFonts w:eastAsia="Times New Roman" w:cs="Times New Roman"/>
                              <w:b/>
                              <w:bCs/>
                              <w:color w:val="04073A"/>
                              <w:sz w:val="20"/>
                            </w:rPr>
                            <w:t>1</w:t>
                          </w:r>
                          <w:r w:rsidRPr="00DD6CBE">
                            <w:rPr>
                              <w:rFonts w:eastAsia="Times New Roman" w:cs="Times New Roman"/>
                              <w:b/>
                              <w:bCs/>
                              <w:color w:val="04073A"/>
                              <w:sz w:val="20"/>
                            </w:rPr>
                            <w:t xml:space="preserve"> (2026)</w:t>
                          </w:r>
                        </w:p>
                        <w:p w14:paraId="4F126C33" w14:textId="77777777" w:rsidR="005C35B9" w:rsidRPr="005C35B9" w:rsidRDefault="005C35B9" w:rsidP="005C35B9">
                          <w:pPr>
                            <w:textDirection w:val="btLr"/>
                            <w:rPr>
                              <w:color w:val="000000" w:themeColor="text1"/>
                            </w:rPr>
                          </w:pP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41EBDD5E" id="Rectángulo 1" o:spid="_x0000_s1026" style="position:absolute;left:0;text-align:left;margin-left:-64.65pt;margin-top:50.5pt;width:181.2pt;height:20.4pt;z-index:2516664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" filled="f" stroked="f">
              <v:textbox inset="2.53958mm,1.2694mm,2.53958mm,1.2694mm">
                <w:txbxContent>
                  <w:p w14:paraId="7A1D3F4D" w14:textId="0C116078" w:rsidR="005C35B9" w:rsidRPr="005C35B9" w:rsidRDefault="005C35B9" w:rsidP="005C35B9">
                    <w:pPr>
                      <w:textDirection w:val="btLr"/>
                      <w:rPr>
                        <w:b/>
                        <w:bCs/>
                        <w:color w:val="04073A"/>
                      </w:rPr>
                    </w:pPr>
                    <w:r w:rsidRPr="00DD6CBE">
                      <w:rPr>
                        <w:rFonts w:eastAsia="Times New Roman" w:cs="Times New Roman"/>
                        <w:b/>
                        <w:bCs/>
                        <w:color w:val="04073A"/>
                        <w:sz w:val="20"/>
                      </w:rPr>
                      <w:t xml:space="preserve">Vol. </w:t>
                    </w:r>
                    <w:r w:rsidR="00DD6CBE" w:rsidRPr="00DD6CBE">
                      <w:rPr>
                        <w:rFonts w:eastAsia="Times New Roman" w:cs="Times New Roman"/>
                        <w:b/>
                        <w:bCs/>
                        <w:color w:val="04073A"/>
                        <w:sz w:val="20"/>
                      </w:rPr>
                      <w:t>3</w:t>
                    </w:r>
                    <w:r w:rsidRPr="00DD6CBE">
                      <w:rPr>
                        <w:rFonts w:eastAsia="Times New Roman" w:cs="Times New Roman"/>
                        <w:b/>
                        <w:bCs/>
                        <w:color w:val="04073A"/>
                        <w:sz w:val="20"/>
                      </w:rPr>
                      <w:t xml:space="preserve"> </w:t>
                    </w:r>
                    <w:proofErr w:type="spellStart"/>
                    <w:r w:rsidRPr="00DD6CBE">
                      <w:rPr>
                        <w:rFonts w:eastAsia="Times New Roman" w:cs="Times New Roman"/>
                        <w:b/>
                        <w:bCs/>
                        <w:color w:val="04073A"/>
                        <w:sz w:val="20"/>
                      </w:rPr>
                      <w:t>Num</w:t>
                    </w:r>
                    <w:proofErr w:type="spellEnd"/>
                    <w:r w:rsidRPr="00DD6CBE">
                      <w:rPr>
                        <w:rFonts w:eastAsia="Times New Roman" w:cs="Times New Roman"/>
                        <w:b/>
                        <w:bCs/>
                        <w:color w:val="04073A"/>
                        <w:sz w:val="20"/>
                      </w:rPr>
                      <w:t xml:space="preserve">. </w:t>
                    </w:r>
                    <w:r w:rsidR="00DD6CBE" w:rsidRPr="00DD6CBE">
                      <w:rPr>
                        <w:rFonts w:eastAsia="Times New Roman" w:cs="Times New Roman"/>
                        <w:b/>
                        <w:bCs/>
                        <w:color w:val="04073A"/>
                        <w:sz w:val="20"/>
                      </w:rPr>
                      <w:t>1</w:t>
                    </w:r>
                    <w:r w:rsidRPr="00DD6CBE">
                      <w:rPr>
                        <w:rFonts w:eastAsia="Times New Roman" w:cs="Times New Roman"/>
                        <w:b/>
                        <w:bCs/>
                        <w:color w:val="04073A"/>
                        <w:sz w:val="20"/>
                      </w:rPr>
                      <w:t xml:space="preserve"> (2026)</w:t>
                    </w:r>
                  </w:p>
                  <w:p w14:paraId="4F126C33" w14:textId="77777777" w:rsidR="005C35B9" w:rsidRPr="005C35B9" w:rsidRDefault="005C35B9" w:rsidP="005C35B9">
                    <w:pPr>
                      <w:textDirection w:val="btLr"/>
                      <w:rPr>
                        <w:color w:val="000000" w:themeColor="text1"/>
                      </w:rPr>
                    </w:pPr>
                  </w:p>
                </w:txbxContent>
              </v:textbox>
              <w10:wrap type="square"/>
            </v:rect>
          </w:pict>
        </mc:Fallback>
      </mc:AlternateContent>
    </w:r>
    <w:r w:rsidR="00CD29F7">
      <w:rPr>
        <w:noProof/>
      </w:rPr>
      <mc:AlternateContent>
        <mc:Choice Requires="wps">
          <w:drawing>
            <wp:anchor distT="0" distB="0" distL="0" distR="0" simplePos="0" relativeHeight="251668483" behindDoc="1" locked="0" layoutInCell="1" hidden="0" allowOverlap="1" wp14:anchorId="4BD3495E" wp14:editId="38714BDC">
              <wp:simplePos x="0" y="0"/>
              <wp:positionH relativeFrom="column">
                <wp:posOffset>-821055</wp:posOffset>
              </wp:positionH>
              <wp:positionV relativeFrom="paragraph">
                <wp:posOffset>121920</wp:posOffset>
              </wp:positionV>
              <wp:extent cx="3535680" cy="274320"/>
              <wp:effectExtent l="0" t="0" r="7620" b="11430"/>
              <wp:wrapNone/>
              <wp:docPr id="3" name="Rectángulo 3"/>
              <wp:cNvGraphicFramePr/>
              <a:graphic xmlns:a="http://schemas.openxmlformats.org/drawingml/2006/main">
                <a:graphicData uri="http://schemas.microsoft.com/office/word/2010/wordprocessingShape">
                  <wps:wsp>
                    <wps:cNvSpPr/>
                    <wps:spPr>
                      <a:xfrm>
                        <a:off x="0" y="0"/>
                        <a:ext cx="3535680" cy="274320"/>
                      </a:xfrm>
                      <a:prstGeom prst="rect">
                        <a:avLst/>
                      </a:prstGeom>
                      <a:noFill/>
                      <a:ln>
                        <a:noFill/>
                      </a:ln>
                    </wps:spPr>
                    <wps:txbx>
                      <w:txbxContent>
                        <w:p w14:paraId="793E070A" w14:textId="7B490EC5" w:rsidR="005C35B9" w:rsidRPr="009B4538" w:rsidRDefault="00CD29F7" w:rsidP="005C35B9">
                          <w:pPr>
                            <w:spacing w:before="10"/>
                            <w:ind w:left="20" w:firstLine="20"/>
                            <w:textDirection w:val="btLr"/>
                            <w:rPr>
                              <w:rFonts w:cs="Times New Roman"/>
                              <w:iCs/>
                              <w:color w:val="04073A"/>
                              <w:szCs w:val="24"/>
                            </w:rPr>
                          </w:pPr>
                          <w:r w:rsidRPr="00DD6CBE">
                            <w:rPr>
                              <w:rFonts w:eastAsia="Noto Serif" w:cs="Times New Roman"/>
                              <w:b/>
                              <w:iCs/>
                              <w:color w:val="04073A"/>
                              <w:szCs w:val="24"/>
                            </w:rPr>
                            <w:t>Esfera Sabia</w:t>
                          </w:r>
                          <w:r w:rsidR="00DD6CBE" w:rsidRPr="00DD6CBE">
                            <w:rPr>
                              <w:rFonts w:eastAsia="Noto Serif" w:cs="Times New Roman"/>
                              <w:b/>
                              <w:iCs/>
                              <w:color w:val="04073A"/>
                              <w:szCs w:val="24"/>
                            </w:rPr>
                            <w:t xml:space="preserve"> </w:t>
                          </w:r>
                          <w:proofErr w:type="spellStart"/>
                          <w:r w:rsidR="00DD6CBE" w:rsidRPr="00DD6CBE">
                            <w:rPr>
                              <w:rFonts w:eastAsia="Noto Serif" w:cs="Times New Roman"/>
                              <w:b/>
                              <w:iCs/>
                              <w:color w:val="04073A"/>
                              <w:szCs w:val="24"/>
                            </w:rPr>
                            <w:t>Multidisciplinary</w:t>
                          </w:r>
                          <w:proofErr w:type="spellEnd"/>
                          <w:r w:rsidR="00DD6CBE" w:rsidRPr="00DD6CBE">
                            <w:rPr>
                              <w:rFonts w:eastAsia="Noto Serif" w:cs="Times New Roman"/>
                              <w:b/>
                              <w:iCs/>
                              <w:color w:val="04073A"/>
                              <w:szCs w:val="24"/>
                            </w:rPr>
                            <w:t xml:space="preserve"> </w:t>
                          </w:r>
                          <w:proofErr w:type="spellStart"/>
                          <w:r w:rsidR="00DD6CBE" w:rsidRPr="00DD6CBE">
                            <w:rPr>
                              <w:rFonts w:eastAsia="Noto Serif" w:cs="Times New Roman"/>
                              <w:b/>
                              <w:iCs/>
                              <w:color w:val="04073A"/>
                              <w:szCs w:val="24"/>
                            </w:rPr>
                            <w:t>Studies</w:t>
                          </w:r>
                          <w:proofErr w:type="spellEnd"/>
                        </w:p>
                      </w:txbxContent>
                    </wps:txbx>
                    <wps:bodyPr spcFirstLastPara="1"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BD3495E" id="Rectángulo 3" o:spid="_x0000_s1027" style="position:absolute;left:0;text-align:left;margin-left:-64.65pt;margin-top:9.6pt;width:278.4pt;height:21.6pt;z-index:-251647997;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" filled="f" stroked="f">
              <v:textbox inset="0,0,0,0">
                <w:txbxContent>
                  <w:p w14:paraId="793E070A" w14:textId="7B490EC5" w:rsidR="005C35B9" w:rsidRPr="009B4538" w:rsidRDefault="00CD29F7" w:rsidP="005C35B9">
                    <w:pPr>
                      <w:spacing w:before="10"/>
                      <w:ind w:left="20" w:firstLine="20"/>
                      <w:textDirection w:val="btLr"/>
                      <w:rPr>
                        <w:rFonts w:cs="Times New Roman"/>
                        <w:iCs/>
                        <w:color w:val="04073A"/>
                        <w:szCs w:val="24"/>
                      </w:rPr>
                    </w:pPr>
                    <w:r w:rsidRPr="00DD6CBE">
                      <w:rPr>
                        <w:rFonts w:eastAsia="Noto Serif" w:cs="Times New Roman"/>
                        <w:b/>
                        <w:iCs/>
                        <w:color w:val="04073A"/>
                        <w:szCs w:val="24"/>
                      </w:rPr>
                      <w:t>Esfera Sabia</w:t>
                    </w:r>
                    <w:r w:rsidR="00DD6CBE" w:rsidRPr="00DD6CBE">
                      <w:rPr>
                        <w:rFonts w:eastAsia="Noto Serif" w:cs="Times New Roman"/>
                        <w:b/>
                        <w:iCs/>
                        <w:color w:val="04073A"/>
                        <w:szCs w:val="24"/>
                      </w:rPr>
                      <w:t xml:space="preserve"> </w:t>
                    </w:r>
                    <w:proofErr w:type="spellStart"/>
                    <w:r w:rsidR="00DD6CBE" w:rsidRPr="00DD6CBE">
                      <w:rPr>
                        <w:rFonts w:eastAsia="Noto Serif" w:cs="Times New Roman"/>
                        <w:b/>
                        <w:iCs/>
                        <w:color w:val="04073A"/>
                        <w:szCs w:val="24"/>
                      </w:rPr>
                      <w:t>Multidisciplinary</w:t>
                    </w:r>
                    <w:proofErr w:type="spellEnd"/>
                    <w:r w:rsidR="00DD6CBE" w:rsidRPr="00DD6CBE">
                      <w:rPr>
                        <w:rFonts w:eastAsia="Noto Serif" w:cs="Times New Roman"/>
                        <w:b/>
                        <w:iCs/>
                        <w:color w:val="04073A"/>
                        <w:szCs w:val="24"/>
                      </w:rPr>
                      <w:t xml:space="preserve"> </w:t>
                    </w:r>
                    <w:proofErr w:type="spellStart"/>
                    <w:r w:rsidR="00DD6CBE" w:rsidRPr="00DD6CBE">
                      <w:rPr>
                        <w:rFonts w:eastAsia="Noto Serif" w:cs="Times New Roman"/>
                        <w:b/>
                        <w:iCs/>
                        <w:color w:val="04073A"/>
                        <w:szCs w:val="24"/>
                      </w:rPr>
                      <w:t>Studies</w:t>
                    </w:r>
                    <w:proofErr w:type="spellEnd"/>
                  </w:p>
                </w:txbxContent>
              </v:textbox>
            </v:rect>
          </w:pict>
        </mc:Fallback>
      </mc:AlternateContent>
    </w:r>
    <w:r w:rsidR="005C35B9">
      <w:rPr>
        <w:noProof/>
      </w:rPr>
      <mc:AlternateContent>
        <mc:Choice Requires="wps">
          <w:drawing>
            <wp:anchor distT="0" distB="0" distL="114300" distR="114300" simplePos="0" relativeHeight="251670531" behindDoc="0" locked="0" layoutInCell="1" hidden="0" allowOverlap="1" wp14:anchorId="3AEB19C1" wp14:editId="471B586D">
              <wp:simplePos x="0" y="0"/>
              <wp:positionH relativeFrom="column">
                <wp:posOffset>-821055</wp:posOffset>
              </wp:positionH>
              <wp:positionV relativeFrom="paragraph">
                <wp:posOffset>396240</wp:posOffset>
              </wp:positionV>
              <wp:extent cx="2301240" cy="259080"/>
              <wp:effectExtent l="0" t="0" r="0" b="7620"/>
              <wp:wrapSquare wrapText="bothSides"/>
              <wp:docPr id="1055654850" name="Rectángulo 1055654850"/>
              <wp:cNvGraphicFramePr/>
              <a:graphic xmlns:a="http://schemas.openxmlformats.org/drawingml/2006/main">
                <a:graphicData uri="http://schemas.microsoft.com/office/word/2010/wordprocessingShape">
                  <wps:wsp>
                    <wps:cNvSpPr/>
                    <wps:spPr>
                      <a:xfrm>
                        <a:off x="0" y="0"/>
                        <a:ext cx="2301240" cy="259080"/>
                      </a:xfrm>
                      <a:prstGeom prst="rect">
                        <a:avLst/>
                      </a:prstGeom>
                      <a:noFill/>
                      <a:ln>
                        <a:noFill/>
                      </a:ln>
                    </wps:spPr>
                    <wps:txbx>
                      <w:txbxContent>
                        <w:p w14:paraId="1BB72296" w14:textId="02A18866" w:rsidR="005C35B9" w:rsidRPr="005C35B9" w:rsidRDefault="005C35B9" w:rsidP="005C35B9">
                          <w:pPr>
                            <w:textDirection w:val="btLr"/>
                            <w:rPr>
                              <w:color w:val="000000" w:themeColor="text1"/>
                              <w:lang w:val="es-MX"/>
                            </w:rPr>
                          </w:pPr>
                          <w:r w:rsidRPr="00DD6CBE">
                            <w:rPr>
                              <w:rFonts w:eastAsia="Times New Roman" w:cs="Times New Roman"/>
                              <w:b/>
                              <w:bCs/>
                              <w:color w:val="04073A"/>
                              <w:sz w:val="20"/>
                              <w:lang w:val="es-MX"/>
                            </w:rPr>
                            <w:t>ISSN:</w:t>
                          </w:r>
                          <w:r>
                            <w:rPr>
                              <w:rFonts w:eastAsia="Times New Roman" w:cs="Times New Roman"/>
                              <w:b/>
                              <w:bCs/>
                              <w:color w:val="04073A"/>
                              <w:sz w:val="20"/>
                              <w:lang w:val="es-MX"/>
                            </w:rPr>
                            <w:t xml:space="preserve"> </w:t>
                          </w:r>
                          <w:r w:rsidR="00DD6CBE">
                            <w:rPr>
                              <w:rFonts w:eastAsia="Times New Roman" w:cs="Times New Roman"/>
                              <w:b/>
                              <w:bCs/>
                              <w:color w:val="04073A"/>
                              <w:sz w:val="20"/>
                              <w:lang w:val="es-MX"/>
                            </w:rPr>
                            <w:t>3091-1672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AEB19C1" id="Rectángulo 1055654850" o:spid="_x0000_s1028" style="position:absolute;left:0;text-align:left;margin-left:-64.65pt;margin-top:31.2pt;width:181.2pt;height:20.4pt;z-index:251670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" filled="f" stroked="f">
              <v:textbox inset="2.53958mm,1.2694mm,2.53958mm,1.2694mm">
                <w:txbxContent>
                  <w:p w14:paraId="1BB72296" w14:textId="02A18866" w:rsidR="005C35B9" w:rsidRPr="005C35B9" w:rsidRDefault="005C35B9" w:rsidP="005C35B9">
                    <w:pPr>
                      <w:textDirection w:val="btLr"/>
                      <w:rPr>
                        <w:color w:val="000000" w:themeColor="text1"/>
                        <w:lang w:val="es-MX"/>
                      </w:rPr>
                    </w:pPr>
                    <w:r w:rsidRPr="00DD6CBE">
                      <w:rPr>
                        <w:rFonts w:eastAsia="Times New Roman" w:cs="Times New Roman"/>
                        <w:b/>
                        <w:bCs/>
                        <w:color w:val="04073A"/>
                        <w:sz w:val="20"/>
                        <w:lang w:val="es-MX"/>
                      </w:rPr>
                      <w:t>ISSN:</w:t>
                    </w:r>
                    <w:r>
                      <w:rPr>
                        <w:rFonts w:eastAsia="Times New Roman" w:cs="Times New Roman"/>
                        <w:b/>
                        <w:bCs/>
                        <w:color w:val="04073A"/>
                        <w:sz w:val="20"/>
                        <w:lang w:val="es-MX"/>
                      </w:rPr>
                      <w:t xml:space="preserve"> </w:t>
                    </w:r>
                    <w:r w:rsidR="00DD6CBE">
                      <w:rPr>
                        <w:rFonts w:eastAsia="Times New Roman" w:cs="Times New Roman"/>
                        <w:b/>
                        <w:bCs/>
                        <w:color w:val="04073A"/>
                        <w:sz w:val="20"/>
                        <w:lang w:val="es-MX"/>
                      </w:rPr>
                      <w:t>3091-1672</w:t>
                    </w:r>
                  </w:p>
                </w:txbxContent>
              </v:textbox>
              <w10:wrap type="square"/>
            </v:rect>
          </w:pict>
        </mc:Fallback>
      </mc:AlternateContent>
    </w:r>
    <w:r w:rsidR="005C35B9">
      <w:rPr>
        <w:rFonts w:cs="Times New Roman"/>
        <w:b/>
        <w:bCs/>
        <w:noProof/>
        <w:sz w:val="28"/>
        <w:szCs w:val="28"/>
      </w:rPr>
      <w:drawing>
        <wp:anchor distT="0" distB="0" distL="114300" distR="114300" simplePos="0" relativeHeight="251664387" behindDoc="1" locked="0" layoutInCell="1" allowOverlap="1" wp14:anchorId="05E3CDD0" wp14:editId="4A3A5528">
          <wp:simplePos x="0" y="0"/>
          <wp:positionH relativeFrom="column">
            <wp:posOffset>4573905</wp:posOffset>
          </wp:positionH>
          <wp:positionV relativeFrom="paragraph">
            <wp:posOffset>129603</wp:posOffset>
          </wp:positionV>
          <wp:extent cx="1879772" cy="685800"/>
          <wp:effectExtent l="0" t="0" r="6350" b="0"/>
          <wp:wrapNone/>
          <wp:docPr id="1234805497" name="Imagen 4"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379679" name="Imagen 4"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7603" t="33944" r="9776" b="35913"/>
                  <a:stretch>
                    <a:fillRect/>
                  </a:stretch>
                </pic:blipFill>
                <pic:spPr bwMode="auto">
                  <a:xfrm>
                    <a:off x="0" y="0"/>
                    <a:ext cx="1879772"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E2E"/>
    <w:multiLevelType w:val="hybridMultilevel"/>
    <w:tmpl w:val="74F42ECE"/>
    <w:lvl w:ilvl="0" w:tplc="CA30388A">
      <w:numFmt w:val="bullet"/>
      <w:lvlText w:val=""/>
      <w:lvlJc w:val="left"/>
      <w:pPr>
        <w:ind w:left="1189" w:hanging="360"/>
      </w:pPr>
      <w:rPr>
        <w:rFonts w:ascii="Symbol" w:eastAsia="Symbol" w:hAnsi="Symbol" w:cs="Symbol" w:hint="default"/>
        <w:b w:val="0"/>
        <w:bCs w:val="0"/>
        <w:i w:val="0"/>
        <w:iCs w:val="0"/>
        <w:spacing w:val="0"/>
        <w:w w:val="99"/>
        <w:sz w:val="20"/>
        <w:szCs w:val="20"/>
        <w:lang w:val="es-ES" w:eastAsia="en-US" w:bidi="ar-SA"/>
      </w:rPr>
    </w:lvl>
    <w:lvl w:ilvl="1" w:tplc="300A0003" w:tentative="1">
      <w:start w:val="1"/>
      <w:numFmt w:val="bullet"/>
      <w:lvlText w:val="o"/>
      <w:lvlJc w:val="left"/>
      <w:pPr>
        <w:ind w:left="1647" w:hanging="360"/>
      </w:pPr>
      <w:rPr>
        <w:rFonts w:ascii="Courier New" w:hAnsi="Courier New" w:cs="Courier New" w:hint="default"/>
      </w:rPr>
    </w:lvl>
    <w:lvl w:ilvl="2" w:tplc="300A0005" w:tentative="1">
      <w:start w:val="1"/>
      <w:numFmt w:val="bullet"/>
      <w:lvlText w:val=""/>
      <w:lvlJc w:val="left"/>
      <w:pPr>
        <w:ind w:left="2367" w:hanging="360"/>
      </w:pPr>
      <w:rPr>
        <w:rFonts w:ascii="Wingdings" w:hAnsi="Wingdings" w:hint="default"/>
      </w:rPr>
    </w:lvl>
    <w:lvl w:ilvl="3" w:tplc="300A0001" w:tentative="1">
      <w:start w:val="1"/>
      <w:numFmt w:val="bullet"/>
      <w:lvlText w:val=""/>
      <w:lvlJc w:val="left"/>
      <w:pPr>
        <w:ind w:left="3087" w:hanging="360"/>
      </w:pPr>
      <w:rPr>
        <w:rFonts w:ascii="Symbol" w:hAnsi="Symbol" w:hint="default"/>
      </w:rPr>
    </w:lvl>
    <w:lvl w:ilvl="4" w:tplc="300A0003" w:tentative="1">
      <w:start w:val="1"/>
      <w:numFmt w:val="bullet"/>
      <w:lvlText w:val="o"/>
      <w:lvlJc w:val="left"/>
      <w:pPr>
        <w:ind w:left="3807" w:hanging="360"/>
      </w:pPr>
      <w:rPr>
        <w:rFonts w:ascii="Courier New" w:hAnsi="Courier New" w:cs="Courier New" w:hint="default"/>
      </w:rPr>
    </w:lvl>
    <w:lvl w:ilvl="5" w:tplc="300A0005" w:tentative="1">
      <w:start w:val="1"/>
      <w:numFmt w:val="bullet"/>
      <w:lvlText w:val=""/>
      <w:lvlJc w:val="left"/>
      <w:pPr>
        <w:ind w:left="4527" w:hanging="360"/>
      </w:pPr>
      <w:rPr>
        <w:rFonts w:ascii="Wingdings" w:hAnsi="Wingdings" w:hint="default"/>
      </w:rPr>
    </w:lvl>
    <w:lvl w:ilvl="6" w:tplc="300A0001" w:tentative="1">
      <w:start w:val="1"/>
      <w:numFmt w:val="bullet"/>
      <w:lvlText w:val=""/>
      <w:lvlJc w:val="left"/>
      <w:pPr>
        <w:ind w:left="5247" w:hanging="360"/>
      </w:pPr>
      <w:rPr>
        <w:rFonts w:ascii="Symbol" w:hAnsi="Symbol" w:hint="default"/>
      </w:rPr>
    </w:lvl>
    <w:lvl w:ilvl="7" w:tplc="300A0003" w:tentative="1">
      <w:start w:val="1"/>
      <w:numFmt w:val="bullet"/>
      <w:lvlText w:val="o"/>
      <w:lvlJc w:val="left"/>
      <w:pPr>
        <w:ind w:left="5967" w:hanging="360"/>
      </w:pPr>
      <w:rPr>
        <w:rFonts w:ascii="Courier New" w:hAnsi="Courier New" w:cs="Courier New" w:hint="default"/>
      </w:rPr>
    </w:lvl>
    <w:lvl w:ilvl="8" w:tplc="300A0005" w:tentative="1">
      <w:start w:val="1"/>
      <w:numFmt w:val="bullet"/>
      <w:lvlText w:val=""/>
      <w:lvlJc w:val="left"/>
      <w:pPr>
        <w:ind w:left="6687" w:hanging="360"/>
      </w:pPr>
      <w:rPr>
        <w:rFonts w:ascii="Wingdings" w:hAnsi="Wingdings" w:hint="default"/>
      </w:rPr>
    </w:lvl>
  </w:abstractNum>
  <w:abstractNum w:abstractNumId="1" w15:restartNumberingAfterBreak="0">
    <w:nsid w:val="02F1066E"/>
    <w:multiLevelType w:val="multilevel"/>
    <w:tmpl w:val="3FF06248"/>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upperRoman"/>
      <w:lvlText w:val="%3."/>
      <w:lvlJc w:val="right"/>
      <w:pPr>
        <w:ind w:left="982" w:hanging="360"/>
      </w:p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abstractNum w:abstractNumId="2" w15:restartNumberingAfterBreak="0">
    <w:nsid w:val="08D0329A"/>
    <w:multiLevelType w:val="hybridMultilevel"/>
    <w:tmpl w:val="DA5A55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91C290E"/>
    <w:multiLevelType w:val="multilevel"/>
    <w:tmpl w:val="65689E82"/>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decimal"/>
      <w:lvlText w:val="%3."/>
      <w:lvlJc w:val="left"/>
      <w:pPr>
        <w:ind w:left="982" w:hanging="360"/>
      </w:pPr>
      <w:rPr>
        <w:rFonts w:ascii="Trebuchet MS" w:eastAsia="Trebuchet MS" w:hAnsi="Trebuchet MS" w:cs="Trebuchet MS" w:hint="default"/>
        <w:b w:val="0"/>
        <w:bCs w:val="0"/>
        <w:i w:val="0"/>
        <w:iCs w:val="0"/>
        <w:spacing w:val="-1"/>
        <w:w w:val="92"/>
        <w:sz w:val="22"/>
        <w:szCs w:val="22"/>
        <w:lang w:val="es-ES" w:eastAsia="en-US" w:bidi="ar-SA"/>
      </w:r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abstractNum w:abstractNumId="4" w15:restartNumberingAfterBreak="0">
    <w:nsid w:val="12C96A27"/>
    <w:multiLevelType w:val="hybridMultilevel"/>
    <w:tmpl w:val="3EAA7832"/>
    <w:lvl w:ilvl="0" w:tplc="A5A4F820">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9404F606">
      <w:numFmt w:val="bullet"/>
      <w:lvlText w:val="•"/>
      <w:lvlJc w:val="left"/>
      <w:pPr>
        <w:ind w:left="1818" w:hanging="360"/>
      </w:pPr>
      <w:rPr>
        <w:rFonts w:hint="default"/>
        <w:lang w:val="es-ES" w:eastAsia="en-US" w:bidi="ar-SA"/>
      </w:rPr>
    </w:lvl>
    <w:lvl w:ilvl="2" w:tplc="0B868EDE">
      <w:numFmt w:val="bullet"/>
      <w:lvlText w:val="•"/>
      <w:lvlJc w:val="left"/>
      <w:pPr>
        <w:ind w:left="2656" w:hanging="360"/>
      </w:pPr>
      <w:rPr>
        <w:rFonts w:hint="default"/>
        <w:lang w:val="es-ES" w:eastAsia="en-US" w:bidi="ar-SA"/>
      </w:rPr>
    </w:lvl>
    <w:lvl w:ilvl="3" w:tplc="46DCE286">
      <w:numFmt w:val="bullet"/>
      <w:lvlText w:val="•"/>
      <w:lvlJc w:val="left"/>
      <w:pPr>
        <w:ind w:left="3494" w:hanging="360"/>
      </w:pPr>
      <w:rPr>
        <w:rFonts w:hint="default"/>
        <w:lang w:val="es-ES" w:eastAsia="en-US" w:bidi="ar-SA"/>
      </w:rPr>
    </w:lvl>
    <w:lvl w:ilvl="4" w:tplc="AA76ED0C">
      <w:numFmt w:val="bullet"/>
      <w:lvlText w:val="•"/>
      <w:lvlJc w:val="left"/>
      <w:pPr>
        <w:ind w:left="4332" w:hanging="360"/>
      </w:pPr>
      <w:rPr>
        <w:rFonts w:hint="default"/>
        <w:lang w:val="es-ES" w:eastAsia="en-US" w:bidi="ar-SA"/>
      </w:rPr>
    </w:lvl>
    <w:lvl w:ilvl="5" w:tplc="A2681138">
      <w:numFmt w:val="bullet"/>
      <w:lvlText w:val="•"/>
      <w:lvlJc w:val="left"/>
      <w:pPr>
        <w:ind w:left="5170" w:hanging="360"/>
      </w:pPr>
      <w:rPr>
        <w:rFonts w:hint="default"/>
        <w:lang w:val="es-ES" w:eastAsia="en-US" w:bidi="ar-SA"/>
      </w:rPr>
    </w:lvl>
    <w:lvl w:ilvl="6" w:tplc="FDA8BAE0">
      <w:numFmt w:val="bullet"/>
      <w:lvlText w:val="•"/>
      <w:lvlJc w:val="left"/>
      <w:pPr>
        <w:ind w:left="6008" w:hanging="360"/>
      </w:pPr>
      <w:rPr>
        <w:rFonts w:hint="default"/>
        <w:lang w:val="es-ES" w:eastAsia="en-US" w:bidi="ar-SA"/>
      </w:rPr>
    </w:lvl>
    <w:lvl w:ilvl="7" w:tplc="D18A2BA8">
      <w:numFmt w:val="bullet"/>
      <w:lvlText w:val="•"/>
      <w:lvlJc w:val="left"/>
      <w:pPr>
        <w:ind w:left="6846" w:hanging="360"/>
      </w:pPr>
      <w:rPr>
        <w:rFonts w:hint="default"/>
        <w:lang w:val="es-ES" w:eastAsia="en-US" w:bidi="ar-SA"/>
      </w:rPr>
    </w:lvl>
    <w:lvl w:ilvl="8" w:tplc="13FC26F4">
      <w:numFmt w:val="bullet"/>
      <w:lvlText w:val="•"/>
      <w:lvlJc w:val="left"/>
      <w:pPr>
        <w:ind w:left="7684" w:hanging="360"/>
      </w:pPr>
      <w:rPr>
        <w:rFonts w:hint="default"/>
        <w:lang w:val="es-ES" w:eastAsia="en-US" w:bidi="ar-SA"/>
      </w:rPr>
    </w:lvl>
  </w:abstractNum>
  <w:abstractNum w:abstractNumId="5" w15:restartNumberingAfterBreak="0">
    <w:nsid w:val="14B0649D"/>
    <w:multiLevelType w:val="hybridMultilevel"/>
    <w:tmpl w:val="5B727CD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193825C4"/>
    <w:multiLevelType w:val="hybridMultilevel"/>
    <w:tmpl w:val="157235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19F4551A"/>
    <w:multiLevelType w:val="multilevel"/>
    <w:tmpl w:val="318A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543B0C"/>
    <w:multiLevelType w:val="multilevel"/>
    <w:tmpl w:val="02A005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3F686F"/>
    <w:multiLevelType w:val="hybridMultilevel"/>
    <w:tmpl w:val="A19432BE"/>
    <w:lvl w:ilvl="0" w:tplc="8E84E3B8">
      <w:numFmt w:val="bullet"/>
      <w:lvlText w:val=""/>
      <w:lvlJc w:val="left"/>
      <w:pPr>
        <w:ind w:left="720" w:hanging="360"/>
      </w:pPr>
      <w:rPr>
        <w:rFonts w:ascii="Times New Roman" w:eastAsia="Calibr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C1A5264"/>
    <w:multiLevelType w:val="hybridMultilevel"/>
    <w:tmpl w:val="06F2F0C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15:restartNumberingAfterBreak="0">
    <w:nsid w:val="1DBA1064"/>
    <w:multiLevelType w:val="multilevel"/>
    <w:tmpl w:val="EE24A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322E92"/>
    <w:multiLevelType w:val="multilevel"/>
    <w:tmpl w:val="CB982B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A57CD"/>
    <w:multiLevelType w:val="hybridMultilevel"/>
    <w:tmpl w:val="22DE0D52"/>
    <w:lvl w:ilvl="0" w:tplc="300A000F">
      <w:start w:val="1"/>
      <w:numFmt w:val="decimal"/>
      <w:lvlText w:val="%1."/>
      <w:lvlJc w:val="left"/>
      <w:pPr>
        <w:ind w:left="981" w:hanging="360"/>
      </w:pPr>
    </w:lvl>
    <w:lvl w:ilvl="1" w:tplc="300A0019" w:tentative="1">
      <w:start w:val="1"/>
      <w:numFmt w:val="lowerLetter"/>
      <w:lvlText w:val="%2."/>
      <w:lvlJc w:val="left"/>
      <w:pPr>
        <w:ind w:left="1701" w:hanging="360"/>
      </w:pPr>
    </w:lvl>
    <w:lvl w:ilvl="2" w:tplc="300A001B" w:tentative="1">
      <w:start w:val="1"/>
      <w:numFmt w:val="lowerRoman"/>
      <w:lvlText w:val="%3."/>
      <w:lvlJc w:val="right"/>
      <w:pPr>
        <w:ind w:left="2421" w:hanging="180"/>
      </w:pPr>
    </w:lvl>
    <w:lvl w:ilvl="3" w:tplc="300A000F" w:tentative="1">
      <w:start w:val="1"/>
      <w:numFmt w:val="decimal"/>
      <w:lvlText w:val="%4."/>
      <w:lvlJc w:val="left"/>
      <w:pPr>
        <w:ind w:left="3141" w:hanging="360"/>
      </w:pPr>
    </w:lvl>
    <w:lvl w:ilvl="4" w:tplc="300A0019" w:tentative="1">
      <w:start w:val="1"/>
      <w:numFmt w:val="lowerLetter"/>
      <w:lvlText w:val="%5."/>
      <w:lvlJc w:val="left"/>
      <w:pPr>
        <w:ind w:left="3861" w:hanging="360"/>
      </w:pPr>
    </w:lvl>
    <w:lvl w:ilvl="5" w:tplc="300A001B" w:tentative="1">
      <w:start w:val="1"/>
      <w:numFmt w:val="lowerRoman"/>
      <w:lvlText w:val="%6."/>
      <w:lvlJc w:val="right"/>
      <w:pPr>
        <w:ind w:left="4581" w:hanging="180"/>
      </w:pPr>
    </w:lvl>
    <w:lvl w:ilvl="6" w:tplc="300A000F" w:tentative="1">
      <w:start w:val="1"/>
      <w:numFmt w:val="decimal"/>
      <w:lvlText w:val="%7."/>
      <w:lvlJc w:val="left"/>
      <w:pPr>
        <w:ind w:left="5301" w:hanging="360"/>
      </w:pPr>
    </w:lvl>
    <w:lvl w:ilvl="7" w:tplc="300A0019" w:tentative="1">
      <w:start w:val="1"/>
      <w:numFmt w:val="lowerLetter"/>
      <w:lvlText w:val="%8."/>
      <w:lvlJc w:val="left"/>
      <w:pPr>
        <w:ind w:left="6021" w:hanging="360"/>
      </w:pPr>
    </w:lvl>
    <w:lvl w:ilvl="8" w:tplc="300A001B" w:tentative="1">
      <w:start w:val="1"/>
      <w:numFmt w:val="lowerRoman"/>
      <w:lvlText w:val="%9."/>
      <w:lvlJc w:val="right"/>
      <w:pPr>
        <w:ind w:left="6741" w:hanging="180"/>
      </w:pPr>
    </w:lvl>
  </w:abstractNum>
  <w:abstractNum w:abstractNumId="14" w15:restartNumberingAfterBreak="0">
    <w:nsid w:val="291251C3"/>
    <w:multiLevelType w:val="hybridMultilevel"/>
    <w:tmpl w:val="F32CA4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9A02605"/>
    <w:multiLevelType w:val="hybridMultilevel"/>
    <w:tmpl w:val="87B839B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3C45570A"/>
    <w:multiLevelType w:val="hybridMultilevel"/>
    <w:tmpl w:val="BF06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E434E36"/>
    <w:multiLevelType w:val="multilevel"/>
    <w:tmpl w:val="8550D41C"/>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upperRoman"/>
      <w:lvlText w:val="%3."/>
      <w:lvlJc w:val="right"/>
      <w:pPr>
        <w:ind w:left="982" w:hanging="360"/>
      </w:p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abstractNum w:abstractNumId="18" w15:restartNumberingAfterBreak="0">
    <w:nsid w:val="49BE3146"/>
    <w:multiLevelType w:val="hybridMultilevel"/>
    <w:tmpl w:val="1D4C3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4A9E57F9"/>
    <w:multiLevelType w:val="hybridMultilevel"/>
    <w:tmpl w:val="B066DE6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50A93916"/>
    <w:multiLevelType w:val="multilevel"/>
    <w:tmpl w:val="9600F5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0F76BF1"/>
    <w:multiLevelType w:val="hybridMultilevel"/>
    <w:tmpl w:val="D3ECAFB8"/>
    <w:lvl w:ilvl="0" w:tplc="180E315A">
      <w:numFmt w:val="bullet"/>
      <w:lvlText w:val=""/>
      <w:lvlJc w:val="left"/>
      <w:pPr>
        <w:ind w:left="720" w:hanging="360"/>
      </w:pPr>
      <w:rPr>
        <w:rFonts w:ascii="Symbol" w:eastAsiaTheme="minorHAnsi" w:hAnsi="Symbol"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530E7507"/>
    <w:multiLevelType w:val="hybridMultilevel"/>
    <w:tmpl w:val="CA0E07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5486574B"/>
    <w:multiLevelType w:val="multilevel"/>
    <w:tmpl w:val="EAA676F4"/>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upperRoman"/>
      <w:lvlText w:val="%3."/>
      <w:lvlJc w:val="right"/>
      <w:pPr>
        <w:ind w:left="982" w:hanging="360"/>
      </w:p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abstractNum w:abstractNumId="24" w15:restartNumberingAfterBreak="0">
    <w:nsid w:val="59777F68"/>
    <w:multiLevelType w:val="hybridMultilevel"/>
    <w:tmpl w:val="094AD3A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61F25DA8"/>
    <w:multiLevelType w:val="multilevel"/>
    <w:tmpl w:val="8FA6532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5F8399F"/>
    <w:multiLevelType w:val="hybridMultilevel"/>
    <w:tmpl w:val="DCA64EFA"/>
    <w:lvl w:ilvl="0" w:tplc="9186658A">
      <w:numFmt w:val="bullet"/>
      <w:lvlText w:val=""/>
      <w:lvlJc w:val="left"/>
      <w:pPr>
        <w:ind w:left="3720" w:hanging="3360"/>
      </w:pPr>
      <w:rPr>
        <w:rFonts w:ascii="Times New Roman" w:eastAsia="Times New Roman"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661A41B1"/>
    <w:multiLevelType w:val="multilevel"/>
    <w:tmpl w:val="65689E82"/>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decimal"/>
      <w:lvlText w:val="%3."/>
      <w:lvlJc w:val="left"/>
      <w:pPr>
        <w:ind w:left="982" w:hanging="360"/>
      </w:pPr>
      <w:rPr>
        <w:rFonts w:ascii="Trebuchet MS" w:eastAsia="Trebuchet MS" w:hAnsi="Trebuchet MS" w:cs="Trebuchet MS" w:hint="default"/>
        <w:b w:val="0"/>
        <w:bCs w:val="0"/>
        <w:i w:val="0"/>
        <w:iCs w:val="0"/>
        <w:spacing w:val="-1"/>
        <w:w w:val="92"/>
        <w:sz w:val="22"/>
        <w:szCs w:val="22"/>
        <w:lang w:val="es-ES" w:eastAsia="en-US" w:bidi="ar-SA"/>
      </w:r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abstractNum w:abstractNumId="28" w15:restartNumberingAfterBreak="0">
    <w:nsid w:val="67F60394"/>
    <w:multiLevelType w:val="hybridMultilevel"/>
    <w:tmpl w:val="CDCA7E90"/>
    <w:lvl w:ilvl="0" w:tplc="CA30388A">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7FC66700">
      <w:numFmt w:val="bullet"/>
      <w:lvlText w:val="•"/>
      <w:lvlJc w:val="left"/>
      <w:pPr>
        <w:ind w:left="1818" w:hanging="360"/>
      </w:pPr>
      <w:rPr>
        <w:rFonts w:hint="default"/>
        <w:lang w:val="es-ES" w:eastAsia="en-US" w:bidi="ar-SA"/>
      </w:rPr>
    </w:lvl>
    <w:lvl w:ilvl="2" w:tplc="C20CB72E">
      <w:numFmt w:val="bullet"/>
      <w:lvlText w:val="•"/>
      <w:lvlJc w:val="left"/>
      <w:pPr>
        <w:ind w:left="2656" w:hanging="360"/>
      </w:pPr>
      <w:rPr>
        <w:rFonts w:hint="default"/>
        <w:lang w:val="es-ES" w:eastAsia="en-US" w:bidi="ar-SA"/>
      </w:rPr>
    </w:lvl>
    <w:lvl w:ilvl="3" w:tplc="D0DAD73C">
      <w:numFmt w:val="bullet"/>
      <w:lvlText w:val="•"/>
      <w:lvlJc w:val="left"/>
      <w:pPr>
        <w:ind w:left="3494" w:hanging="360"/>
      </w:pPr>
      <w:rPr>
        <w:rFonts w:hint="default"/>
        <w:lang w:val="es-ES" w:eastAsia="en-US" w:bidi="ar-SA"/>
      </w:rPr>
    </w:lvl>
    <w:lvl w:ilvl="4" w:tplc="D3143A88">
      <w:numFmt w:val="bullet"/>
      <w:lvlText w:val="•"/>
      <w:lvlJc w:val="left"/>
      <w:pPr>
        <w:ind w:left="4332" w:hanging="360"/>
      </w:pPr>
      <w:rPr>
        <w:rFonts w:hint="default"/>
        <w:lang w:val="es-ES" w:eastAsia="en-US" w:bidi="ar-SA"/>
      </w:rPr>
    </w:lvl>
    <w:lvl w:ilvl="5" w:tplc="ED0468DE">
      <w:numFmt w:val="bullet"/>
      <w:lvlText w:val="•"/>
      <w:lvlJc w:val="left"/>
      <w:pPr>
        <w:ind w:left="5170" w:hanging="360"/>
      </w:pPr>
      <w:rPr>
        <w:rFonts w:hint="default"/>
        <w:lang w:val="es-ES" w:eastAsia="en-US" w:bidi="ar-SA"/>
      </w:rPr>
    </w:lvl>
    <w:lvl w:ilvl="6" w:tplc="91723966">
      <w:numFmt w:val="bullet"/>
      <w:lvlText w:val="•"/>
      <w:lvlJc w:val="left"/>
      <w:pPr>
        <w:ind w:left="6008" w:hanging="360"/>
      </w:pPr>
      <w:rPr>
        <w:rFonts w:hint="default"/>
        <w:lang w:val="es-ES" w:eastAsia="en-US" w:bidi="ar-SA"/>
      </w:rPr>
    </w:lvl>
    <w:lvl w:ilvl="7" w:tplc="56DCD0FA">
      <w:numFmt w:val="bullet"/>
      <w:lvlText w:val="•"/>
      <w:lvlJc w:val="left"/>
      <w:pPr>
        <w:ind w:left="6846" w:hanging="360"/>
      </w:pPr>
      <w:rPr>
        <w:rFonts w:hint="default"/>
        <w:lang w:val="es-ES" w:eastAsia="en-US" w:bidi="ar-SA"/>
      </w:rPr>
    </w:lvl>
    <w:lvl w:ilvl="8" w:tplc="ADBCA5EA">
      <w:numFmt w:val="bullet"/>
      <w:lvlText w:val="•"/>
      <w:lvlJc w:val="left"/>
      <w:pPr>
        <w:ind w:left="7684" w:hanging="360"/>
      </w:pPr>
      <w:rPr>
        <w:rFonts w:hint="default"/>
        <w:lang w:val="es-ES" w:eastAsia="en-US" w:bidi="ar-SA"/>
      </w:rPr>
    </w:lvl>
  </w:abstractNum>
  <w:abstractNum w:abstractNumId="29" w15:restartNumberingAfterBreak="0">
    <w:nsid w:val="68403FBF"/>
    <w:multiLevelType w:val="hybridMultilevel"/>
    <w:tmpl w:val="94146B64"/>
    <w:lvl w:ilvl="0" w:tplc="7B8C1596">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8838646C">
      <w:numFmt w:val="bullet"/>
      <w:lvlText w:val="•"/>
      <w:lvlJc w:val="left"/>
      <w:pPr>
        <w:ind w:left="1818" w:hanging="360"/>
      </w:pPr>
      <w:rPr>
        <w:rFonts w:hint="default"/>
        <w:lang w:val="es-ES" w:eastAsia="en-US" w:bidi="ar-SA"/>
      </w:rPr>
    </w:lvl>
    <w:lvl w:ilvl="2" w:tplc="DFA8AC98">
      <w:numFmt w:val="bullet"/>
      <w:lvlText w:val="•"/>
      <w:lvlJc w:val="left"/>
      <w:pPr>
        <w:ind w:left="2656" w:hanging="360"/>
      </w:pPr>
      <w:rPr>
        <w:rFonts w:hint="default"/>
        <w:lang w:val="es-ES" w:eastAsia="en-US" w:bidi="ar-SA"/>
      </w:rPr>
    </w:lvl>
    <w:lvl w:ilvl="3" w:tplc="C79EB2DA">
      <w:numFmt w:val="bullet"/>
      <w:lvlText w:val="•"/>
      <w:lvlJc w:val="left"/>
      <w:pPr>
        <w:ind w:left="3494" w:hanging="360"/>
      </w:pPr>
      <w:rPr>
        <w:rFonts w:hint="default"/>
        <w:lang w:val="es-ES" w:eastAsia="en-US" w:bidi="ar-SA"/>
      </w:rPr>
    </w:lvl>
    <w:lvl w:ilvl="4" w:tplc="E826A7C4">
      <w:numFmt w:val="bullet"/>
      <w:lvlText w:val="•"/>
      <w:lvlJc w:val="left"/>
      <w:pPr>
        <w:ind w:left="4332" w:hanging="360"/>
      </w:pPr>
      <w:rPr>
        <w:rFonts w:hint="default"/>
        <w:lang w:val="es-ES" w:eastAsia="en-US" w:bidi="ar-SA"/>
      </w:rPr>
    </w:lvl>
    <w:lvl w:ilvl="5" w:tplc="76F05AF8">
      <w:numFmt w:val="bullet"/>
      <w:lvlText w:val="•"/>
      <w:lvlJc w:val="left"/>
      <w:pPr>
        <w:ind w:left="5170" w:hanging="360"/>
      </w:pPr>
      <w:rPr>
        <w:rFonts w:hint="default"/>
        <w:lang w:val="es-ES" w:eastAsia="en-US" w:bidi="ar-SA"/>
      </w:rPr>
    </w:lvl>
    <w:lvl w:ilvl="6" w:tplc="59EE9174">
      <w:numFmt w:val="bullet"/>
      <w:lvlText w:val="•"/>
      <w:lvlJc w:val="left"/>
      <w:pPr>
        <w:ind w:left="6008" w:hanging="360"/>
      </w:pPr>
      <w:rPr>
        <w:rFonts w:hint="default"/>
        <w:lang w:val="es-ES" w:eastAsia="en-US" w:bidi="ar-SA"/>
      </w:rPr>
    </w:lvl>
    <w:lvl w:ilvl="7" w:tplc="A1D01816">
      <w:numFmt w:val="bullet"/>
      <w:lvlText w:val="•"/>
      <w:lvlJc w:val="left"/>
      <w:pPr>
        <w:ind w:left="6846" w:hanging="360"/>
      </w:pPr>
      <w:rPr>
        <w:rFonts w:hint="default"/>
        <w:lang w:val="es-ES" w:eastAsia="en-US" w:bidi="ar-SA"/>
      </w:rPr>
    </w:lvl>
    <w:lvl w:ilvl="8" w:tplc="60A63428">
      <w:numFmt w:val="bullet"/>
      <w:lvlText w:val="•"/>
      <w:lvlJc w:val="left"/>
      <w:pPr>
        <w:ind w:left="7684" w:hanging="360"/>
      </w:pPr>
      <w:rPr>
        <w:rFonts w:hint="default"/>
        <w:lang w:val="es-ES" w:eastAsia="en-US" w:bidi="ar-SA"/>
      </w:rPr>
    </w:lvl>
  </w:abstractNum>
  <w:abstractNum w:abstractNumId="30" w15:restartNumberingAfterBreak="0">
    <w:nsid w:val="68EA29E1"/>
    <w:multiLevelType w:val="hybridMultilevel"/>
    <w:tmpl w:val="CEFE657A"/>
    <w:lvl w:ilvl="0" w:tplc="300A000F">
      <w:start w:val="1"/>
      <w:numFmt w:val="decimal"/>
      <w:lvlText w:val="%1."/>
      <w:lvlJc w:val="left"/>
      <w:pPr>
        <w:ind w:left="1287" w:hanging="360"/>
      </w:pPr>
    </w:lvl>
    <w:lvl w:ilvl="1" w:tplc="300A0019" w:tentative="1">
      <w:start w:val="1"/>
      <w:numFmt w:val="lowerLetter"/>
      <w:lvlText w:val="%2."/>
      <w:lvlJc w:val="left"/>
      <w:pPr>
        <w:ind w:left="2007" w:hanging="360"/>
      </w:pPr>
    </w:lvl>
    <w:lvl w:ilvl="2" w:tplc="300A001B" w:tentative="1">
      <w:start w:val="1"/>
      <w:numFmt w:val="lowerRoman"/>
      <w:lvlText w:val="%3."/>
      <w:lvlJc w:val="right"/>
      <w:pPr>
        <w:ind w:left="2727" w:hanging="180"/>
      </w:pPr>
    </w:lvl>
    <w:lvl w:ilvl="3" w:tplc="300A000F" w:tentative="1">
      <w:start w:val="1"/>
      <w:numFmt w:val="decimal"/>
      <w:lvlText w:val="%4."/>
      <w:lvlJc w:val="left"/>
      <w:pPr>
        <w:ind w:left="3447" w:hanging="360"/>
      </w:pPr>
    </w:lvl>
    <w:lvl w:ilvl="4" w:tplc="300A0019" w:tentative="1">
      <w:start w:val="1"/>
      <w:numFmt w:val="lowerLetter"/>
      <w:lvlText w:val="%5."/>
      <w:lvlJc w:val="left"/>
      <w:pPr>
        <w:ind w:left="4167" w:hanging="360"/>
      </w:pPr>
    </w:lvl>
    <w:lvl w:ilvl="5" w:tplc="300A001B" w:tentative="1">
      <w:start w:val="1"/>
      <w:numFmt w:val="lowerRoman"/>
      <w:lvlText w:val="%6."/>
      <w:lvlJc w:val="right"/>
      <w:pPr>
        <w:ind w:left="4887" w:hanging="180"/>
      </w:pPr>
    </w:lvl>
    <w:lvl w:ilvl="6" w:tplc="300A000F" w:tentative="1">
      <w:start w:val="1"/>
      <w:numFmt w:val="decimal"/>
      <w:lvlText w:val="%7."/>
      <w:lvlJc w:val="left"/>
      <w:pPr>
        <w:ind w:left="5607" w:hanging="360"/>
      </w:pPr>
    </w:lvl>
    <w:lvl w:ilvl="7" w:tplc="300A0019" w:tentative="1">
      <w:start w:val="1"/>
      <w:numFmt w:val="lowerLetter"/>
      <w:lvlText w:val="%8."/>
      <w:lvlJc w:val="left"/>
      <w:pPr>
        <w:ind w:left="6327" w:hanging="360"/>
      </w:pPr>
    </w:lvl>
    <w:lvl w:ilvl="8" w:tplc="300A001B" w:tentative="1">
      <w:start w:val="1"/>
      <w:numFmt w:val="lowerRoman"/>
      <w:lvlText w:val="%9."/>
      <w:lvlJc w:val="right"/>
      <w:pPr>
        <w:ind w:left="7047" w:hanging="180"/>
      </w:pPr>
    </w:lvl>
  </w:abstractNum>
  <w:abstractNum w:abstractNumId="31" w15:restartNumberingAfterBreak="0">
    <w:nsid w:val="6ACA093C"/>
    <w:multiLevelType w:val="multilevel"/>
    <w:tmpl w:val="C97C25D2"/>
    <w:lvl w:ilvl="0">
      <w:start w:val="4"/>
      <w:numFmt w:val="decimal"/>
      <w:lvlText w:val="%1."/>
      <w:lvlJc w:val="left"/>
      <w:pPr>
        <w:ind w:left="360" w:hanging="360"/>
      </w:pPr>
      <w:rPr>
        <w:rFonts w:hint="default"/>
      </w:rPr>
    </w:lvl>
    <w:lvl w:ilvl="1">
      <w:start w:val="1"/>
      <w:numFmt w:val="decimal"/>
      <w:lvlText w:val="%1.%2."/>
      <w:lvlJc w:val="left"/>
      <w:pPr>
        <w:ind w:left="50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1A217E9"/>
    <w:multiLevelType w:val="hybridMultilevel"/>
    <w:tmpl w:val="DA7EAD92"/>
    <w:lvl w:ilvl="0" w:tplc="CA30388A">
      <w:numFmt w:val="bullet"/>
      <w:lvlText w:val=""/>
      <w:lvlJc w:val="left"/>
      <w:pPr>
        <w:ind w:left="1243" w:hanging="360"/>
      </w:pPr>
      <w:rPr>
        <w:rFonts w:ascii="Symbol" w:eastAsia="Symbol" w:hAnsi="Symbol" w:cs="Symbol" w:hint="default"/>
        <w:b w:val="0"/>
        <w:bCs w:val="0"/>
        <w:i w:val="0"/>
        <w:iCs w:val="0"/>
        <w:spacing w:val="0"/>
        <w:w w:val="99"/>
        <w:sz w:val="20"/>
        <w:szCs w:val="20"/>
        <w:lang w:val="es-ES" w:eastAsia="en-US" w:bidi="ar-SA"/>
      </w:rPr>
    </w:lvl>
    <w:lvl w:ilvl="1" w:tplc="300A0003" w:tentative="1">
      <w:start w:val="1"/>
      <w:numFmt w:val="bullet"/>
      <w:lvlText w:val="o"/>
      <w:lvlJc w:val="left"/>
      <w:pPr>
        <w:ind w:left="1701" w:hanging="360"/>
      </w:pPr>
      <w:rPr>
        <w:rFonts w:ascii="Courier New" w:hAnsi="Courier New" w:cs="Courier New" w:hint="default"/>
      </w:rPr>
    </w:lvl>
    <w:lvl w:ilvl="2" w:tplc="300A0005" w:tentative="1">
      <w:start w:val="1"/>
      <w:numFmt w:val="bullet"/>
      <w:lvlText w:val=""/>
      <w:lvlJc w:val="left"/>
      <w:pPr>
        <w:ind w:left="2421" w:hanging="360"/>
      </w:pPr>
      <w:rPr>
        <w:rFonts w:ascii="Wingdings" w:hAnsi="Wingdings" w:hint="default"/>
      </w:rPr>
    </w:lvl>
    <w:lvl w:ilvl="3" w:tplc="300A0001" w:tentative="1">
      <w:start w:val="1"/>
      <w:numFmt w:val="bullet"/>
      <w:lvlText w:val=""/>
      <w:lvlJc w:val="left"/>
      <w:pPr>
        <w:ind w:left="3141" w:hanging="360"/>
      </w:pPr>
      <w:rPr>
        <w:rFonts w:ascii="Symbol" w:hAnsi="Symbol" w:hint="default"/>
      </w:rPr>
    </w:lvl>
    <w:lvl w:ilvl="4" w:tplc="300A0003" w:tentative="1">
      <w:start w:val="1"/>
      <w:numFmt w:val="bullet"/>
      <w:lvlText w:val="o"/>
      <w:lvlJc w:val="left"/>
      <w:pPr>
        <w:ind w:left="3861" w:hanging="360"/>
      </w:pPr>
      <w:rPr>
        <w:rFonts w:ascii="Courier New" w:hAnsi="Courier New" w:cs="Courier New" w:hint="default"/>
      </w:rPr>
    </w:lvl>
    <w:lvl w:ilvl="5" w:tplc="300A0005" w:tentative="1">
      <w:start w:val="1"/>
      <w:numFmt w:val="bullet"/>
      <w:lvlText w:val=""/>
      <w:lvlJc w:val="left"/>
      <w:pPr>
        <w:ind w:left="4581" w:hanging="360"/>
      </w:pPr>
      <w:rPr>
        <w:rFonts w:ascii="Wingdings" w:hAnsi="Wingdings" w:hint="default"/>
      </w:rPr>
    </w:lvl>
    <w:lvl w:ilvl="6" w:tplc="300A0001" w:tentative="1">
      <w:start w:val="1"/>
      <w:numFmt w:val="bullet"/>
      <w:lvlText w:val=""/>
      <w:lvlJc w:val="left"/>
      <w:pPr>
        <w:ind w:left="5301" w:hanging="360"/>
      </w:pPr>
      <w:rPr>
        <w:rFonts w:ascii="Symbol" w:hAnsi="Symbol" w:hint="default"/>
      </w:rPr>
    </w:lvl>
    <w:lvl w:ilvl="7" w:tplc="300A0003" w:tentative="1">
      <w:start w:val="1"/>
      <w:numFmt w:val="bullet"/>
      <w:lvlText w:val="o"/>
      <w:lvlJc w:val="left"/>
      <w:pPr>
        <w:ind w:left="6021" w:hanging="360"/>
      </w:pPr>
      <w:rPr>
        <w:rFonts w:ascii="Courier New" w:hAnsi="Courier New" w:cs="Courier New" w:hint="default"/>
      </w:rPr>
    </w:lvl>
    <w:lvl w:ilvl="8" w:tplc="300A0005" w:tentative="1">
      <w:start w:val="1"/>
      <w:numFmt w:val="bullet"/>
      <w:lvlText w:val=""/>
      <w:lvlJc w:val="left"/>
      <w:pPr>
        <w:ind w:left="6741" w:hanging="360"/>
      </w:pPr>
      <w:rPr>
        <w:rFonts w:ascii="Wingdings" w:hAnsi="Wingdings" w:hint="default"/>
      </w:rPr>
    </w:lvl>
  </w:abstractNum>
  <w:abstractNum w:abstractNumId="33" w15:restartNumberingAfterBreak="0">
    <w:nsid w:val="74A93F96"/>
    <w:multiLevelType w:val="multilevel"/>
    <w:tmpl w:val="B004F84C"/>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upperRoman"/>
      <w:lvlText w:val="%3."/>
      <w:lvlJc w:val="right"/>
      <w:pPr>
        <w:ind w:left="982" w:hanging="360"/>
      </w:p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abstractNum w:abstractNumId="34" w15:restartNumberingAfterBreak="0">
    <w:nsid w:val="77BE1493"/>
    <w:multiLevelType w:val="hybridMultilevel"/>
    <w:tmpl w:val="1292C8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7C0767C9"/>
    <w:multiLevelType w:val="hybridMultilevel"/>
    <w:tmpl w:val="8CD69428"/>
    <w:lvl w:ilvl="0" w:tplc="334414F2">
      <w:numFmt w:val="bullet"/>
      <w:lvlText w:val=""/>
      <w:lvlJc w:val="left"/>
      <w:pPr>
        <w:ind w:left="982" w:hanging="360"/>
      </w:pPr>
      <w:rPr>
        <w:rFonts w:ascii="Symbol" w:eastAsia="Symbol" w:hAnsi="Symbol" w:cs="Symbol" w:hint="default"/>
        <w:b w:val="0"/>
        <w:bCs w:val="0"/>
        <w:i w:val="0"/>
        <w:iCs w:val="0"/>
        <w:spacing w:val="0"/>
        <w:w w:val="99"/>
        <w:sz w:val="20"/>
        <w:szCs w:val="20"/>
        <w:lang w:val="es-ES" w:eastAsia="en-US" w:bidi="ar-SA"/>
      </w:rPr>
    </w:lvl>
    <w:lvl w:ilvl="1" w:tplc="DBBC6AD0">
      <w:numFmt w:val="bullet"/>
      <w:lvlText w:val="•"/>
      <w:lvlJc w:val="left"/>
      <w:pPr>
        <w:ind w:left="1818" w:hanging="360"/>
      </w:pPr>
      <w:rPr>
        <w:rFonts w:hint="default"/>
        <w:lang w:val="es-ES" w:eastAsia="en-US" w:bidi="ar-SA"/>
      </w:rPr>
    </w:lvl>
    <w:lvl w:ilvl="2" w:tplc="3F5E5440">
      <w:numFmt w:val="bullet"/>
      <w:lvlText w:val="•"/>
      <w:lvlJc w:val="left"/>
      <w:pPr>
        <w:ind w:left="2656" w:hanging="360"/>
      </w:pPr>
      <w:rPr>
        <w:rFonts w:hint="default"/>
        <w:lang w:val="es-ES" w:eastAsia="en-US" w:bidi="ar-SA"/>
      </w:rPr>
    </w:lvl>
    <w:lvl w:ilvl="3" w:tplc="7B58868E">
      <w:numFmt w:val="bullet"/>
      <w:lvlText w:val="•"/>
      <w:lvlJc w:val="left"/>
      <w:pPr>
        <w:ind w:left="3494" w:hanging="360"/>
      </w:pPr>
      <w:rPr>
        <w:rFonts w:hint="default"/>
        <w:lang w:val="es-ES" w:eastAsia="en-US" w:bidi="ar-SA"/>
      </w:rPr>
    </w:lvl>
    <w:lvl w:ilvl="4" w:tplc="7EEEE47C">
      <w:numFmt w:val="bullet"/>
      <w:lvlText w:val="•"/>
      <w:lvlJc w:val="left"/>
      <w:pPr>
        <w:ind w:left="4332" w:hanging="360"/>
      </w:pPr>
      <w:rPr>
        <w:rFonts w:hint="default"/>
        <w:lang w:val="es-ES" w:eastAsia="en-US" w:bidi="ar-SA"/>
      </w:rPr>
    </w:lvl>
    <w:lvl w:ilvl="5" w:tplc="249CF73A">
      <w:numFmt w:val="bullet"/>
      <w:lvlText w:val="•"/>
      <w:lvlJc w:val="left"/>
      <w:pPr>
        <w:ind w:left="5170" w:hanging="360"/>
      </w:pPr>
      <w:rPr>
        <w:rFonts w:hint="default"/>
        <w:lang w:val="es-ES" w:eastAsia="en-US" w:bidi="ar-SA"/>
      </w:rPr>
    </w:lvl>
    <w:lvl w:ilvl="6" w:tplc="129426F2">
      <w:numFmt w:val="bullet"/>
      <w:lvlText w:val="•"/>
      <w:lvlJc w:val="left"/>
      <w:pPr>
        <w:ind w:left="6008" w:hanging="360"/>
      </w:pPr>
      <w:rPr>
        <w:rFonts w:hint="default"/>
        <w:lang w:val="es-ES" w:eastAsia="en-US" w:bidi="ar-SA"/>
      </w:rPr>
    </w:lvl>
    <w:lvl w:ilvl="7" w:tplc="74C291C0">
      <w:numFmt w:val="bullet"/>
      <w:lvlText w:val="•"/>
      <w:lvlJc w:val="left"/>
      <w:pPr>
        <w:ind w:left="6846" w:hanging="360"/>
      </w:pPr>
      <w:rPr>
        <w:rFonts w:hint="default"/>
        <w:lang w:val="es-ES" w:eastAsia="en-US" w:bidi="ar-SA"/>
      </w:rPr>
    </w:lvl>
    <w:lvl w:ilvl="8" w:tplc="D8E8BECA">
      <w:numFmt w:val="bullet"/>
      <w:lvlText w:val="•"/>
      <w:lvlJc w:val="left"/>
      <w:pPr>
        <w:ind w:left="7684" w:hanging="360"/>
      </w:pPr>
      <w:rPr>
        <w:rFonts w:hint="default"/>
        <w:lang w:val="es-ES" w:eastAsia="en-US" w:bidi="ar-SA"/>
      </w:rPr>
    </w:lvl>
  </w:abstractNum>
  <w:abstractNum w:abstractNumId="36" w15:restartNumberingAfterBreak="0">
    <w:nsid w:val="7C714C81"/>
    <w:multiLevelType w:val="hybridMultilevel"/>
    <w:tmpl w:val="653E8C8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7" w15:restartNumberingAfterBreak="0">
    <w:nsid w:val="7DEC158E"/>
    <w:multiLevelType w:val="multilevel"/>
    <w:tmpl w:val="65689E82"/>
    <w:lvl w:ilvl="0">
      <w:start w:val="1"/>
      <w:numFmt w:val="decimal"/>
      <w:lvlText w:val="%1."/>
      <w:lvlJc w:val="left"/>
      <w:pPr>
        <w:ind w:left="509" w:hanging="248"/>
      </w:pPr>
      <w:rPr>
        <w:rFonts w:hint="default"/>
        <w:spacing w:val="-1"/>
        <w:w w:val="81"/>
        <w:sz w:val="26"/>
        <w:szCs w:val="26"/>
        <w:lang w:val="es-ES" w:eastAsia="en-US" w:bidi="ar-SA"/>
      </w:rPr>
    </w:lvl>
    <w:lvl w:ilvl="1">
      <w:start w:val="1"/>
      <w:numFmt w:val="decimal"/>
      <w:lvlText w:val="%1.%2."/>
      <w:lvlJc w:val="left"/>
      <w:pPr>
        <w:ind w:left="262" w:hanging="447"/>
      </w:pPr>
      <w:rPr>
        <w:rFonts w:ascii="Arial" w:eastAsia="Trebuchet MS" w:hAnsi="Arial" w:cs="Arial" w:hint="default"/>
        <w:b/>
        <w:bCs/>
        <w:i w:val="0"/>
        <w:iCs w:val="0"/>
        <w:spacing w:val="0"/>
        <w:w w:val="87"/>
        <w:sz w:val="20"/>
        <w:szCs w:val="20"/>
        <w:lang w:val="es-ES" w:eastAsia="en-US" w:bidi="ar-SA"/>
      </w:rPr>
    </w:lvl>
    <w:lvl w:ilvl="2">
      <w:start w:val="1"/>
      <w:numFmt w:val="decimal"/>
      <w:lvlText w:val="%3."/>
      <w:lvlJc w:val="left"/>
      <w:pPr>
        <w:ind w:left="982" w:hanging="360"/>
      </w:pPr>
      <w:rPr>
        <w:rFonts w:ascii="Trebuchet MS" w:eastAsia="Trebuchet MS" w:hAnsi="Trebuchet MS" w:cs="Trebuchet MS" w:hint="default"/>
        <w:b w:val="0"/>
        <w:bCs w:val="0"/>
        <w:i w:val="0"/>
        <w:iCs w:val="0"/>
        <w:spacing w:val="-1"/>
        <w:w w:val="92"/>
        <w:sz w:val="22"/>
        <w:szCs w:val="22"/>
        <w:lang w:val="es-ES" w:eastAsia="en-US" w:bidi="ar-SA"/>
      </w:rPr>
    </w:lvl>
    <w:lvl w:ilvl="3">
      <w:numFmt w:val="bullet"/>
      <w:lvlText w:val="o"/>
      <w:lvlJc w:val="left"/>
      <w:pPr>
        <w:ind w:left="1702" w:hanging="360"/>
      </w:pPr>
      <w:rPr>
        <w:rFonts w:ascii="Courier New" w:eastAsia="Courier New" w:hAnsi="Courier New" w:cs="Courier New" w:hint="default"/>
        <w:b w:val="0"/>
        <w:bCs w:val="0"/>
        <w:i w:val="0"/>
        <w:iCs w:val="0"/>
        <w:spacing w:val="0"/>
        <w:w w:val="99"/>
        <w:sz w:val="20"/>
        <w:szCs w:val="20"/>
        <w:lang w:val="es-ES" w:eastAsia="en-US" w:bidi="ar-SA"/>
      </w:rPr>
    </w:lvl>
    <w:lvl w:ilvl="4">
      <w:numFmt w:val="bullet"/>
      <w:lvlText w:val="•"/>
      <w:lvlJc w:val="left"/>
      <w:pPr>
        <w:ind w:left="1700" w:hanging="360"/>
      </w:pPr>
      <w:rPr>
        <w:rFonts w:hint="default"/>
        <w:lang w:val="es-ES" w:eastAsia="en-US" w:bidi="ar-SA"/>
      </w:rPr>
    </w:lvl>
    <w:lvl w:ilvl="5">
      <w:numFmt w:val="bullet"/>
      <w:lvlText w:val="•"/>
      <w:lvlJc w:val="left"/>
      <w:pPr>
        <w:ind w:left="2976" w:hanging="360"/>
      </w:pPr>
      <w:rPr>
        <w:rFonts w:hint="default"/>
        <w:lang w:val="es-ES" w:eastAsia="en-US" w:bidi="ar-SA"/>
      </w:rPr>
    </w:lvl>
    <w:lvl w:ilvl="6">
      <w:numFmt w:val="bullet"/>
      <w:lvlText w:val="•"/>
      <w:lvlJc w:val="left"/>
      <w:pPr>
        <w:ind w:left="4253" w:hanging="360"/>
      </w:pPr>
      <w:rPr>
        <w:rFonts w:hint="default"/>
        <w:lang w:val="es-ES" w:eastAsia="en-US" w:bidi="ar-SA"/>
      </w:rPr>
    </w:lvl>
    <w:lvl w:ilvl="7">
      <w:numFmt w:val="bullet"/>
      <w:lvlText w:val="•"/>
      <w:lvlJc w:val="left"/>
      <w:pPr>
        <w:ind w:left="5530" w:hanging="360"/>
      </w:pPr>
      <w:rPr>
        <w:rFonts w:hint="default"/>
        <w:lang w:val="es-ES" w:eastAsia="en-US" w:bidi="ar-SA"/>
      </w:rPr>
    </w:lvl>
    <w:lvl w:ilvl="8">
      <w:numFmt w:val="bullet"/>
      <w:lvlText w:val="•"/>
      <w:lvlJc w:val="left"/>
      <w:pPr>
        <w:ind w:left="6806" w:hanging="360"/>
      </w:pPr>
      <w:rPr>
        <w:rFonts w:hint="default"/>
        <w:lang w:val="es-ES" w:eastAsia="en-US" w:bidi="ar-SA"/>
      </w:rPr>
    </w:lvl>
  </w:abstractNum>
  <w:num w:numId="1" w16cid:durableId="1180314760">
    <w:abstractNumId w:val="7"/>
  </w:num>
  <w:num w:numId="2" w16cid:durableId="961961179">
    <w:abstractNumId w:val="2"/>
  </w:num>
  <w:num w:numId="3" w16cid:durableId="1895582058">
    <w:abstractNumId w:val="6"/>
  </w:num>
  <w:num w:numId="4" w16cid:durableId="516508786">
    <w:abstractNumId w:val="19"/>
  </w:num>
  <w:num w:numId="5" w16cid:durableId="148443163">
    <w:abstractNumId w:val="24"/>
  </w:num>
  <w:num w:numId="6" w16cid:durableId="416634771">
    <w:abstractNumId w:val="21"/>
  </w:num>
  <w:num w:numId="7" w16cid:durableId="1861623034">
    <w:abstractNumId w:val="11"/>
  </w:num>
  <w:num w:numId="8" w16cid:durableId="1396010094">
    <w:abstractNumId w:val="36"/>
  </w:num>
  <w:num w:numId="9" w16cid:durableId="498813858">
    <w:abstractNumId w:val="9"/>
  </w:num>
  <w:num w:numId="10" w16cid:durableId="1096708367">
    <w:abstractNumId w:val="35"/>
  </w:num>
  <w:num w:numId="11" w16cid:durableId="554854977">
    <w:abstractNumId w:val="3"/>
  </w:num>
  <w:num w:numId="12" w16cid:durableId="1569804987">
    <w:abstractNumId w:val="1"/>
  </w:num>
  <w:num w:numId="13" w16cid:durableId="452791956">
    <w:abstractNumId w:val="23"/>
  </w:num>
  <w:num w:numId="14" w16cid:durableId="1147747174">
    <w:abstractNumId w:val="29"/>
  </w:num>
  <w:num w:numId="15" w16cid:durableId="805701400">
    <w:abstractNumId w:val="17"/>
  </w:num>
  <w:num w:numId="16" w16cid:durableId="716205344">
    <w:abstractNumId w:val="4"/>
  </w:num>
  <w:num w:numId="17" w16cid:durableId="731735095">
    <w:abstractNumId w:val="28"/>
  </w:num>
  <w:num w:numId="18" w16cid:durableId="425152052">
    <w:abstractNumId w:val="33"/>
  </w:num>
  <w:num w:numId="19" w16cid:durableId="796487374">
    <w:abstractNumId w:val="15"/>
  </w:num>
  <w:num w:numId="20" w16cid:durableId="1990283967">
    <w:abstractNumId w:val="16"/>
  </w:num>
  <w:num w:numId="21" w16cid:durableId="1863276630">
    <w:abstractNumId w:val="5"/>
  </w:num>
  <w:num w:numId="22" w16cid:durableId="484903769">
    <w:abstractNumId w:val="37"/>
  </w:num>
  <w:num w:numId="23" w16cid:durableId="1547372636">
    <w:abstractNumId w:val="27"/>
  </w:num>
  <w:num w:numId="24" w16cid:durableId="1828786207">
    <w:abstractNumId w:val="13"/>
  </w:num>
  <w:num w:numId="25" w16cid:durableId="626736351">
    <w:abstractNumId w:val="30"/>
  </w:num>
  <w:num w:numId="26" w16cid:durableId="82772728">
    <w:abstractNumId w:val="12"/>
  </w:num>
  <w:num w:numId="27" w16cid:durableId="536285573">
    <w:abstractNumId w:val="20"/>
  </w:num>
  <w:num w:numId="28" w16cid:durableId="458913781">
    <w:abstractNumId w:val="31"/>
  </w:num>
  <w:num w:numId="29" w16cid:durableId="1011835250">
    <w:abstractNumId w:val="8"/>
  </w:num>
  <w:num w:numId="30" w16cid:durableId="1102189137">
    <w:abstractNumId w:val="25"/>
  </w:num>
  <w:num w:numId="31" w16cid:durableId="1430542921">
    <w:abstractNumId w:val="32"/>
  </w:num>
  <w:num w:numId="32" w16cid:durableId="1395397255">
    <w:abstractNumId w:val="0"/>
  </w:num>
  <w:num w:numId="33" w16cid:durableId="754089242">
    <w:abstractNumId w:val="10"/>
  </w:num>
  <w:num w:numId="34" w16cid:durableId="743261146">
    <w:abstractNumId w:val="26"/>
  </w:num>
  <w:num w:numId="35" w16cid:durableId="989404359">
    <w:abstractNumId w:val="14"/>
  </w:num>
  <w:num w:numId="36" w16cid:durableId="495002044">
    <w:abstractNumId w:val="22"/>
  </w:num>
  <w:num w:numId="37" w16cid:durableId="1943149324">
    <w:abstractNumId w:val="18"/>
  </w:num>
  <w:num w:numId="38" w16cid:durableId="16713670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C2C"/>
    <w:rsid w:val="000004AD"/>
    <w:rsid w:val="000147DE"/>
    <w:rsid w:val="00014AD3"/>
    <w:rsid w:val="00027AEB"/>
    <w:rsid w:val="00027F1F"/>
    <w:rsid w:val="000508B6"/>
    <w:rsid w:val="0005447F"/>
    <w:rsid w:val="0008424F"/>
    <w:rsid w:val="000A5FB3"/>
    <w:rsid w:val="000B59A7"/>
    <w:rsid w:val="000C6698"/>
    <w:rsid w:val="000D5DED"/>
    <w:rsid w:val="000F1B7D"/>
    <w:rsid w:val="000F66AB"/>
    <w:rsid w:val="00120DD2"/>
    <w:rsid w:val="001433FE"/>
    <w:rsid w:val="00155283"/>
    <w:rsid w:val="00164135"/>
    <w:rsid w:val="00180A0A"/>
    <w:rsid w:val="0019133B"/>
    <w:rsid w:val="00191E1E"/>
    <w:rsid w:val="001B0D81"/>
    <w:rsid w:val="001C4959"/>
    <w:rsid w:val="001D47AB"/>
    <w:rsid w:val="00204CCD"/>
    <w:rsid w:val="00213C5F"/>
    <w:rsid w:val="00220601"/>
    <w:rsid w:val="00223B50"/>
    <w:rsid w:val="002447F3"/>
    <w:rsid w:val="00265280"/>
    <w:rsid w:val="00273011"/>
    <w:rsid w:val="00283AF9"/>
    <w:rsid w:val="0029764E"/>
    <w:rsid w:val="002B1414"/>
    <w:rsid w:val="002C3EB2"/>
    <w:rsid w:val="002D2163"/>
    <w:rsid w:val="002D5B61"/>
    <w:rsid w:val="002F3EFA"/>
    <w:rsid w:val="00300B03"/>
    <w:rsid w:val="00313C3A"/>
    <w:rsid w:val="00313E34"/>
    <w:rsid w:val="00343B50"/>
    <w:rsid w:val="00345EA5"/>
    <w:rsid w:val="0035207A"/>
    <w:rsid w:val="00365608"/>
    <w:rsid w:val="00366307"/>
    <w:rsid w:val="00371129"/>
    <w:rsid w:val="0037206B"/>
    <w:rsid w:val="00373C11"/>
    <w:rsid w:val="00373E80"/>
    <w:rsid w:val="00380763"/>
    <w:rsid w:val="00385F0E"/>
    <w:rsid w:val="003A0211"/>
    <w:rsid w:val="003A521D"/>
    <w:rsid w:val="003A6878"/>
    <w:rsid w:val="003D235C"/>
    <w:rsid w:val="003D4D92"/>
    <w:rsid w:val="003E7235"/>
    <w:rsid w:val="003E7BC7"/>
    <w:rsid w:val="00401F4F"/>
    <w:rsid w:val="00411FCB"/>
    <w:rsid w:val="0041373F"/>
    <w:rsid w:val="00443FCE"/>
    <w:rsid w:val="00447D7E"/>
    <w:rsid w:val="004565B0"/>
    <w:rsid w:val="00465603"/>
    <w:rsid w:val="00473845"/>
    <w:rsid w:val="00476F18"/>
    <w:rsid w:val="00490166"/>
    <w:rsid w:val="00496ACA"/>
    <w:rsid w:val="004C7CDB"/>
    <w:rsid w:val="004F3D13"/>
    <w:rsid w:val="00540D9F"/>
    <w:rsid w:val="00545793"/>
    <w:rsid w:val="00547072"/>
    <w:rsid w:val="00550F2B"/>
    <w:rsid w:val="005562A5"/>
    <w:rsid w:val="00560C21"/>
    <w:rsid w:val="00561192"/>
    <w:rsid w:val="005709B7"/>
    <w:rsid w:val="00573C43"/>
    <w:rsid w:val="00575F8E"/>
    <w:rsid w:val="0057759B"/>
    <w:rsid w:val="005849FD"/>
    <w:rsid w:val="005B0773"/>
    <w:rsid w:val="005B7220"/>
    <w:rsid w:val="005C35B9"/>
    <w:rsid w:val="005C39EF"/>
    <w:rsid w:val="005D24EA"/>
    <w:rsid w:val="005E4BED"/>
    <w:rsid w:val="005E68DA"/>
    <w:rsid w:val="006155FA"/>
    <w:rsid w:val="00620539"/>
    <w:rsid w:val="00622B46"/>
    <w:rsid w:val="00635A09"/>
    <w:rsid w:val="00635C87"/>
    <w:rsid w:val="00637D9E"/>
    <w:rsid w:val="00652E30"/>
    <w:rsid w:val="00653244"/>
    <w:rsid w:val="00670827"/>
    <w:rsid w:val="006714A1"/>
    <w:rsid w:val="0067201B"/>
    <w:rsid w:val="00675361"/>
    <w:rsid w:val="00681C89"/>
    <w:rsid w:val="00695BE4"/>
    <w:rsid w:val="00695CE7"/>
    <w:rsid w:val="006964A2"/>
    <w:rsid w:val="006A084A"/>
    <w:rsid w:val="006B1F91"/>
    <w:rsid w:val="006C3579"/>
    <w:rsid w:val="006D2E6B"/>
    <w:rsid w:val="006F0851"/>
    <w:rsid w:val="006F2C2C"/>
    <w:rsid w:val="007068DC"/>
    <w:rsid w:val="007127D2"/>
    <w:rsid w:val="00712A40"/>
    <w:rsid w:val="00714937"/>
    <w:rsid w:val="00717BCC"/>
    <w:rsid w:val="007362A5"/>
    <w:rsid w:val="007445DC"/>
    <w:rsid w:val="00763E1C"/>
    <w:rsid w:val="00775AEC"/>
    <w:rsid w:val="00775FD2"/>
    <w:rsid w:val="007A20FC"/>
    <w:rsid w:val="007C003B"/>
    <w:rsid w:val="007D5CDB"/>
    <w:rsid w:val="00816E1A"/>
    <w:rsid w:val="00822D49"/>
    <w:rsid w:val="00824618"/>
    <w:rsid w:val="00861A85"/>
    <w:rsid w:val="00862A20"/>
    <w:rsid w:val="00870202"/>
    <w:rsid w:val="00895EDA"/>
    <w:rsid w:val="008961A7"/>
    <w:rsid w:val="008A3790"/>
    <w:rsid w:val="008B7E51"/>
    <w:rsid w:val="008C07A1"/>
    <w:rsid w:val="008C22C7"/>
    <w:rsid w:val="008C7D85"/>
    <w:rsid w:val="008D38DC"/>
    <w:rsid w:val="0090046B"/>
    <w:rsid w:val="00907AB5"/>
    <w:rsid w:val="00911EF2"/>
    <w:rsid w:val="00920268"/>
    <w:rsid w:val="00922B3B"/>
    <w:rsid w:val="00930D69"/>
    <w:rsid w:val="009322EE"/>
    <w:rsid w:val="00944A71"/>
    <w:rsid w:val="00953A0E"/>
    <w:rsid w:val="00960494"/>
    <w:rsid w:val="00980B74"/>
    <w:rsid w:val="0098118D"/>
    <w:rsid w:val="00984406"/>
    <w:rsid w:val="009A75A6"/>
    <w:rsid w:val="009B2375"/>
    <w:rsid w:val="009B4538"/>
    <w:rsid w:val="009B72DF"/>
    <w:rsid w:val="009C1327"/>
    <w:rsid w:val="009C3D42"/>
    <w:rsid w:val="009E0CFB"/>
    <w:rsid w:val="00A1100C"/>
    <w:rsid w:val="00A31228"/>
    <w:rsid w:val="00A33B24"/>
    <w:rsid w:val="00A4326D"/>
    <w:rsid w:val="00A53354"/>
    <w:rsid w:val="00A64683"/>
    <w:rsid w:val="00A7205B"/>
    <w:rsid w:val="00A97572"/>
    <w:rsid w:val="00AA06B5"/>
    <w:rsid w:val="00AA1753"/>
    <w:rsid w:val="00AB6D24"/>
    <w:rsid w:val="00AC10E8"/>
    <w:rsid w:val="00AD0D5F"/>
    <w:rsid w:val="00AD5F74"/>
    <w:rsid w:val="00AD72DC"/>
    <w:rsid w:val="00AF15D2"/>
    <w:rsid w:val="00AF2910"/>
    <w:rsid w:val="00B04BDC"/>
    <w:rsid w:val="00B250A3"/>
    <w:rsid w:val="00B317ED"/>
    <w:rsid w:val="00B3736F"/>
    <w:rsid w:val="00B47B2D"/>
    <w:rsid w:val="00B61FC9"/>
    <w:rsid w:val="00B633B2"/>
    <w:rsid w:val="00B70560"/>
    <w:rsid w:val="00B80D06"/>
    <w:rsid w:val="00B9247B"/>
    <w:rsid w:val="00B97B68"/>
    <w:rsid w:val="00B97F12"/>
    <w:rsid w:val="00BA3859"/>
    <w:rsid w:val="00BB5C47"/>
    <w:rsid w:val="00BB6324"/>
    <w:rsid w:val="00BC4B12"/>
    <w:rsid w:val="00BE15D8"/>
    <w:rsid w:val="00BE2EDC"/>
    <w:rsid w:val="00C0073E"/>
    <w:rsid w:val="00C07864"/>
    <w:rsid w:val="00C420DC"/>
    <w:rsid w:val="00C42AE4"/>
    <w:rsid w:val="00C4355A"/>
    <w:rsid w:val="00C43FE1"/>
    <w:rsid w:val="00C519EA"/>
    <w:rsid w:val="00C51CE6"/>
    <w:rsid w:val="00C54BB2"/>
    <w:rsid w:val="00C62CA3"/>
    <w:rsid w:val="00C83068"/>
    <w:rsid w:val="00C9189C"/>
    <w:rsid w:val="00C91C2E"/>
    <w:rsid w:val="00CA1D3D"/>
    <w:rsid w:val="00CA69D8"/>
    <w:rsid w:val="00CA775C"/>
    <w:rsid w:val="00CC5617"/>
    <w:rsid w:val="00CC64E3"/>
    <w:rsid w:val="00CD18DD"/>
    <w:rsid w:val="00CD29F7"/>
    <w:rsid w:val="00CE0384"/>
    <w:rsid w:val="00CE0C70"/>
    <w:rsid w:val="00CE2C13"/>
    <w:rsid w:val="00CF1D88"/>
    <w:rsid w:val="00D14879"/>
    <w:rsid w:val="00D41D2E"/>
    <w:rsid w:val="00D4677B"/>
    <w:rsid w:val="00D626AE"/>
    <w:rsid w:val="00D677CC"/>
    <w:rsid w:val="00D704B7"/>
    <w:rsid w:val="00D80715"/>
    <w:rsid w:val="00D94C62"/>
    <w:rsid w:val="00DA5EB7"/>
    <w:rsid w:val="00DB7D2C"/>
    <w:rsid w:val="00DC75CA"/>
    <w:rsid w:val="00DD0380"/>
    <w:rsid w:val="00DD3E85"/>
    <w:rsid w:val="00DD531A"/>
    <w:rsid w:val="00DD5A0C"/>
    <w:rsid w:val="00DD6CBE"/>
    <w:rsid w:val="00DE5AB2"/>
    <w:rsid w:val="00E0398F"/>
    <w:rsid w:val="00E05787"/>
    <w:rsid w:val="00E23DA1"/>
    <w:rsid w:val="00E3114D"/>
    <w:rsid w:val="00E37548"/>
    <w:rsid w:val="00E57710"/>
    <w:rsid w:val="00E77A44"/>
    <w:rsid w:val="00E804CC"/>
    <w:rsid w:val="00E83AA7"/>
    <w:rsid w:val="00E90211"/>
    <w:rsid w:val="00EA0976"/>
    <w:rsid w:val="00EB2281"/>
    <w:rsid w:val="00EB5A53"/>
    <w:rsid w:val="00ED4B05"/>
    <w:rsid w:val="00EE589C"/>
    <w:rsid w:val="00EE5992"/>
    <w:rsid w:val="00EE64C7"/>
    <w:rsid w:val="00EF512A"/>
    <w:rsid w:val="00F02B1C"/>
    <w:rsid w:val="00F34D42"/>
    <w:rsid w:val="00F37961"/>
    <w:rsid w:val="00F45E1B"/>
    <w:rsid w:val="00F5602F"/>
    <w:rsid w:val="00F80C0B"/>
    <w:rsid w:val="00F96654"/>
    <w:rsid w:val="00FA7C67"/>
    <w:rsid w:val="00FC4332"/>
    <w:rsid w:val="00FD74C3"/>
    <w:rsid w:val="00FE4FA0"/>
    <w:rsid w:val="00FF0128"/>
    <w:rsid w:val="00FF58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9C392"/>
  <w15:docId w15:val="{DFB68A09-3266-4967-B6A2-C81B00B54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C"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BDC"/>
    <w:pPr>
      <w:spacing w:line="360" w:lineRule="auto"/>
    </w:pPr>
    <w:rPr>
      <w:rFonts w:ascii="Times New Roman" w:hAnsi="Times New Roman"/>
      <w:sz w:val="24"/>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B97F12"/>
    <w:rPr>
      <w:color w:val="0000FF" w:themeColor="hyperlink"/>
      <w:u w:val="single"/>
    </w:rPr>
  </w:style>
  <w:style w:type="character" w:styleId="Mencinsinresolver">
    <w:name w:val="Unresolved Mention"/>
    <w:basedOn w:val="Fuentedeprrafopredeter"/>
    <w:uiPriority w:val="99"/>
    <w:semiHidden/>
    <w:unhideWhenUsed/>
    <w:rsid w:val="00B97F12"/>
    <w:rPr>
      <w:color w:val="605E5C"/>
      <w:shd w:val="clear" w:color="auto" w:fill="E1DFDD"/>
    </w:rPr>
  </w:style>
  <w:style w:type="paragraph" w:styleId="Encabezado">
    <w:name w:val="header"/>
    <w:basedOn w:val="Normal"/>
    <w:link w:val="EncabezadoCar"/>
    <w:uiPriority w:val="99"/>
    <w:unhideWhenUsed/>
    <w:rsid w:val="003A521D"/>
    <w:pPr>
      <w:tabs>
        <w:tab w:val="center" w:pos="4419"/>
        <w:tab w:val="right" w:pos="8838"/>
      </w:tabs>
    </w:pPr>
  </w:style>
  <w:style w:type="character" w:customStyle="1" w:styleId="EncabezadoCar">
    <w:name w:val="Encabezado Car"/>
    <w:basedOn w:val="Fuentedeprrafopredeter"/>
    <w:link w:val="Encabezado"/>
    <w:uiPriority w:val="99"/>
    <w:rsid w:val="003A521D"/>
  </w:style>
  <w:style w:type="paragraph" w:styleId="Piedepgina">
    <w:name w:val="footer"/>
    <w:basedOn w:val="Normal"/>
    <w:link w:val="PiedepginaCar"/>
    <w:uiPriority w:val="99"/>
    <w:unhideWhenUsed/>
    <w:rsid w:val="003A521D"/>
    <w:pPr>
      <w:tabs>
        <w:tab w:val="center" w:pos="4419"/>
        <w:tab w:val="right" w:pos="8838"/>
      </w:tabs>
    </w:pPr>
  </w:style>
  <w:style w:type="character" w:customStyle="1" w:styleId="PiedepginaCar">
    <w:name w:val="Pie de página Car"/>
    <w:basedOn w:val="Fuentedeprrafopredeter"/>
    <w:link w:val="Piedepgina"/>
    <w:uiPriority w:val="99"/>
    <w:rsid w:val="003A521D"/>
  </w:style>
  <w:style w:type="paragraph" w:styleId="Prrafodelista">
    <w:name w:val="List Paragraph"/>
    <w:basedOn w:val="Normal"/>
    <w:uiPriority w:val="1"/>
    <w:qFormat/>
    <w:rsid w:val="00573C43"/>
    <w:pPr>
      <w:spacing w:after="160" w:line="259" w:lineRule="auto"/>
      <w:ind w:left="720"/>
      <w:contextualSpacing/>
    </w:pPr>
    <w:rPr>
      <w:rFonts w:asciiTheme="minorHAnsi" w:eastAsiaTheme="minorHAnsi" w:hAnsiTheme="minorHAnsi" w:cstheme="minorBidi"/>
      <w:kern w:val="2"/>
      <w:lang w:val="es-CO" w:eastAsia="en-US"/>
      <w14:ligatures w14:val="standardContextual"/>
    </w:rPr>
  </w:style>
  <w:style w:type="paragraph" w:styleId="Bibliografa">
    <w:name w:val="Bibliography"/>
    <w:basedOn w:val="Normal"/>
    <w:next w:val="Normal"/>
    <w:uiPriority w:val="37"/>
    <w:unhideWhenUsed/>
    <w:rsid w:val="003D4D92"/>
    <w:rPr>
      <w:lang w:eastAsia="es-EC"/>
    </w:rPr>
  </w:style>
  <w:style w:type="table" w:styleId="Tablaconcuadrcula">
    <w:name w:val="Table Grid"/>
    <w:basedOn w:val="Tablanormal"/>
    <w:uiPriority w:val="39"/>
    <w:rsid w:val="003D4D92"/>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3D4D92"/>
    <w:pPr>
      <w:widowControl w:val="0"/>
      <w:autoSpaceDE w:val="0"/>
      <w:autoSpaceDN w:val="0"/>
    </w:pPr>
    <w:rPr>
      <w:rFonts w:eastAsia="Times New Roman" w:cs="Times New Roman"/>
      <w:szCs w:val="24"/>
      <w:lang w:val="es-ES" w:eastAsia="en-US"/>
    </w:rPr>
  </w:style>
  <w:style w:type="character" w:customStyle="1" w:styleId="TextoindependienteCar">
    <w:name w:val="Texto independiente Car"/>
    <w:basedOn w:val="Fuentedeprrafopredeter"/>
    <w:link w:val="Textoindependiente"/>
    <w:uiPriority w:val="1"/>
    <w:rsid w:val="003D4D92"/>
    <w:rPr>
      <w:rFonts w:ascii="Times New Roman" w:eastAsia="Times New Roman" w:hAnsi="Times New Roman" w:cs="Times New Roman"/>
      <w:sz w:val="24"/>
      <w:szCs w:val="24"/>
      <w:lang w:val="es-ES" w:eastAsia="en-US"/>
    </w:rPr>
  </w:style>
  <w:style w:type="character" w:styleId="Hipervnculovisitado">
    <w:name w:val="FollowedHyperlink"/>
    <w:basedOn w:val="Fuentedeprrafopredeter"/>
    <w:uiPriority w:val="99"/>
    <w:semiHidden/>
    <w:unhideWhenUsed/>
    <w:rsid w:val="00C62CA3"/>
    <w:rPr>
      <w:color w:val="800080" w:themeColor="followedHyperlink"/>
      <w:u w:val="single"/>
    </w:rPr>
  </w:style>
  <w:style w:type="paragraph" w:styleId="NormalWeb">
    <w:name w:val="Normal (Web)"/>
    <w:basedOn w:val="Normal"/>
    <w:uiPriority w:val="99"/>
    <w:semiHidden/>
    <w:unhideWhenUsed/>
    <w:rsid w:val="005C39EF"/>
    <w:rPr>
      <w:rFonts w:cs="Times New Roman"/>
      <w:szCs w:val="24"/>
    </w:rPr>
  </w:style>
  <w:style w:type="table" w:customStyle="1" w:styleId="TableNormal0">
    <w:name w:val="Table Normal"/>
    <w:uiPriority w:val="2"/>
    <w:semiHidden/>
    <w:unhideWhenUsed/>
    <w:qFormat/>
    <w:rsid w:val="00B3736F"/>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3736F"/>
    <w:pPr>
      <w:widowControl w:val="0"/>
      <w:autoSpaceDE w:val="0"/>
      <w:autoSpaceDN w:val="0"/>
      <w:ind w:left="107"/>
    </w:pPr>
    <w:rPr>
      <w:rFonts w:ascii="Trebuchet MS" w:eastAsia="Trebuchet MS" w:hAnsi="Trebuchet MS" w:cs="Trebuchet MS"/>
      <w:lang w:val="es-ES" w:eastAsia="en-US"/>
    </w:rPr>
  </w:style>
  <w:style w:type="character" w:styleId="Refdecomentario">
    <w:name w:val="annotation reference"/>
    <w:basedOn w:val="Fuentedeprrafopredeter"/>
    <w:uiPriority w:val="99"/>
    <w:semiHidden/>
    <w:unhideWhenUsed/>
    <w:rsid w:val="006155FA"/>
    <w:rPr>
      <w:sz w:val="16"/>
      <w:szCs w:val="16"/>
    </w:rPr>
  </w:style>
  <w:style w:type="paragraph" w:styleId="Textocomentario">
    <w:name w:val="annotation text"/>
    <w:basedOn w:val="Normal"/>
    <w:link w:val="TextocomentarioCar"/>
    <w:uiPriority w:val="99"/>
    <w:unhideWhenUsed/>
    <w:rsid w:val="006155FA"/>
    <w:pPr>
      <w:spacing w:line="240" w:lineRule="auto"/>
    </w:pPr>
    <w:rPr>
      <w:sz w:val="20"/>
      <w:szCs w:val="20"/>
    </w:rPr>
  </w:style>
  <w:style w:type="character" w:customStyle="1" w:styleId="TextocomentarioCar">
    <w:name w:val="Texto comentario Car"/>
    <w:basedOn w:val="Fuentedeprrafopredeter"/>
    <w:link w:val="Textocomentario"/>
    <w:uiPriority w:val="99"/>
    <w:rsid w:val="006155FA"/>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6155FA"/>
    <w:rPr>
      <w:b/>
      <w:bCs/>
    </w:rPr>
  </w:style>
  <w:style w:type="character" w:customStyle="1" w:styleId="AsuntodelcomentarioCar">
    <w:name w:val="Asunto del comentario Car"/>
    <w:basedOn w:val="TextocomentarioCar"/>
    <w:link w:val="Asuntodelcomentario"/>
    <w:uiPriority w:val="99"/>
    <w:semiHidden/>
    <w:rsid w:val="006155FA"/>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milio.jaramilloj@ug.edu.ec" TargetMode="External"/><Relationship Id="rId18" Type="http://schemas.openxmlformats.org/officeDocument/2006/relationships/hyperlink" Target="https://orcid.org/0009-0004-2689-1435"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danilo.yumblal@ug.edu.ec" TargetMode="External"/><Relationship Id="rId7" Type="http://schemas.openxmlformats.org/officeDocument/2006/relationships/settings" Target="settings.xml"/><Relationship Id="rId12" Type="http://schemas.openxmlformats.org/officeDocument/2006/relationships/hyperlink" Target="https://orcid.org/0000-0002-0154-6625" TargetMode="External"/><Relationship Id="rId17" Type="http://schemas.openxmlformats.org/officeDocument/2006/relationships/hyperlink" Target="mailto:andrea.silvas@ug.edu.ec"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rcid.org/0009-0004-3462-5604" TargetMode="External"/><Relationship Id="rId20" Type="http://schemas.openxmlformats.org/officeDocument/2006/relationships/hyperlink" Target="https://orcid.org/0009-0002-4524-706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illan.munozc@ug.edu.ec" TargetMode="External"/><Relationship Id="rId24" Type="http://schemas.openxmlformats.org/officeDocument/2006/relationships/hyperlink" Target="https://creativecommons.org/licenses/by/4.0" TargetMode="External"/><Relationship Id="rId5" Type="http://schemas.openxmlformats.org/officeDocument/2006/relationships/numbering" Target="numbering.xml"/><Relationship Id="rId15" Type="http://schemas.openxmlformats.org/officeDocument/2006/relationships/hyperlink" Target="mailto:merlina.morenoc@ug.edu.ec" TargetMode="External"/><Relationship Id="rId23" Type="http://schemas.openxmlformats.org/officeDocument/2006/relationships/hyperlink" Target="https://doi.org/10.63688/p3100y43"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lindsay.vincesc@ug.edu.e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rcid.org/0009-0002-4160-6220" TargetMode="External"/><Relationship Id="rId22" Type="http://schemas.openxmlformats.org/officeDocument/2006/relationships/hyperlink" Target="https://orcid.org/0009-0009-2465-1362"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doi.org/10.63688/p3100y43" TargetMode="External"/><Relationship Id="rId1" Type="http://schemas.openxmlformats.org/officeDocument/2006/relationships/hyperlink" Target="https://doi.org/10.63688/p3100y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Bar24</b:Tag>
    <b:SourceType>JournalArticle</b:SourceType>
    <b:Guid>{83A5EA16-5580-43F8-B38E-A10998AD9C6F}</b:Guid>
    <b:Author>
      <b:Author>
        <b:NameList>
          <b:Person>
            <b:Last>Barahona</b:Last>
            <b:First>Martínez</b:First>
            <b:Middle>Jaime</b:Middle>
          </b:Person>
          <b:Person>
            <b:Last>Legerén</b:Last>
            <b:First>Lago</b:First>
            <b:Middle>Beatriz</b:Middle>
          </b:Person>
          <b:Person>
            <b:Last>Govantes</b:Last>
            <b:First>Carrasco</b:First>
            <b:Middle>Daniel</b:Middle>
          </b:Person>
        </b:NameList>
      </b:Author>
    </b:Author>
    <b:Title>Estructuras y técnicas narrativas de series tradicionales en contenidos de plataformas digitales</b:Title>
    <b:JournalName>Revista Internacional de Cultura Visual</b:JournalName>
    <b:Year>2024</b:Year>
    <b:Pages>321–332</b:Pages>
    <b:Volume>16</b:Volume>
    <b:Issue>3</b:Issue>
    <b:DOI>10.62161/revvisual.v16.5271</b:DOI>
    <b:RefOrder>1</b:RefOrder>
  </b:Source>
  <b:Source>
    <b:Tag>Ter23</b:Tag>
    <b:SourceType>JournalArticle</b:SourceType>
    <b:Guid>{A4D3E300-EB2A-44ED-8125-FBC60C7D6C1C}</b:Guid>
    <b:Author>
      <b:Author>
        <b:NameList>
          <b:Person>
            <b:Last>Terrón</b:Last>
            <b:First>Víctor</b:First>
          </b:Person>
          <b:Person>
            <b:Last>Mejía</b:Last>
            <b:First>Jezreel</b:First>
          </b:Person>
        </b:NameList>
      </b:Author>
    </b:Author>
    <b:Title>Mejoras propuestas para la implementación de la norma ISO/IEC 29110 utilizando lógica matemática</b:Title>
    <b:JournalName>SciElo; RISTI - Revista Ibérica de Sistemas y Tecnologías de la Información</b:JournalName>
    <b:Year>2023</b:Year>
    <b:Issue>49</b:Issue>
    <b:DOI>10.17013/risti.49.52-66 </b:DOI>
    <b:RefOrder>2</b:RefOrder>
  </b:Source>
  <b:Source>
    <b:Tag>Ure24</b:Tag>
    <b:SourceType>JournalArticle</b:SourceType>
    <b:Guid>{E5E06A3F-43A3-45DB-AD41-61DB053E9309}</b:Guid>
    <b:Author>
      <b:Author>
        <b:NameList>
          <b:Person>
            <b:Last>Ureña</b:Last>
            <b:First>Villamizar</b:First>
            <b:Middle>Yan Carlos</b:Middle>
          </b:Person>
          <b:Person>
            <b:Last>Henao</b:Last>
            <b:First>Gómez</b:First>
            <b:Middle>Mario Alberto</b:Middle>
          </b:Person>
          <b:Person>
            <b:Last>Vargas</b:Last>
            <b:First>Velásquez</b:First>
            <b:Middle>Oscar Andrés</b:Middle>
          </b:Person>
          <b:Person>
            <b:Last>Ramírez</b:Last>
            <b:First>Ramírez</b:First>
            <b:Middle>Juan Ricardo</b:Middle>
          </b:Person>
          <b:Person>
            <b:Last>Fernández</b:Last>
            <b:First>Nieto</b:First>
            <b:Middle>Ever Lafaid</b:Middle>
          </b:Person>
        </b:NameList>
      </b:Author>
    </b:Author>
    <b:Title>Ma-Tecn: Modelo Innovador para Fomentar Competencias Lógico-Matemáticas</b:Title>
    <b:JournalName>AiBi Revista de Investigación, Administración e Ingeniería</b:JournalName>
    <b:Year>2024</b:Year>
    <b:Volume>12</b:Volume>
    <b:Issue>2</b:Issue>
    <b:DOI>10.15649/2346030X.3781</b:DOI>
    <b:RefOrder>3</b:RefOrder>
  </b:Source>
  <b:Source>
    <b:Tag>Mar24</b:Tag>
    <b:SourceType>JournalArticle</b:SourceType>
    <b:Guid>{2555565A-9201-49CC-BD16-BA62D108DD48}</b:Guid>
    <b:Author>
      <b:Author>
        <b:NameList>
          <b:Person>
            <b:Last>Martínez</b:Last>
            <b:First>Silvia</b:First>
            <b:Middle>De Miguel López</b:Middle>
          </b:Person>
          <b:Person>
            <b:Last>Bernárdez</b:Last>
            <b:First>Gómez</b:First>
            <b:Middle>Abraham</b:Middle>
          </b:Person>
          <b:Person>
            <b:Last>Salmeron</b:Last>
            <b:First>Aroca</b:First>
            <b:Middle>Juan Antonio</b:Middle>
          </b:Person>
        </b:NameList>
      </b:Author>
    </b:Author>
    <b:Title>Análisis retrospectivo de la percepción sobre herramientas para el desarrollo de actividades colaborativas en entornos virtuales</b:Title>
    <b:JournalName>RIED-Revista Iberoamericana de Educación a Distancia</b:JournalName>
    <b:Year>2024</b:Year>
    <b:Pages>35–55</b:Pages>
    <b:Volume>27</b:Volume>
    <b:Issue>2</b:Issue>
    <b:DOI>10.5944/ried.27.2.38983</b:DOI>
    <b:RefOrder>4</b:RefOrder>
  </b:Source>
  <b:Source>
    <b:Tag>Del20</b:Tag>
    <b:SourceType>JournalArticle</b:SourceType>
    <b:Guid>{E34BB7AD-59B2-4787-9572-149CDB8C710E}</b:Guid>
    <b:Author>
      <b:Author>
        <b:NameList>
          <b:Person>
            <b:Last>Delgado</b:Last>
            <b:First>Meza</b:First>
            <b:Middle>Jesús Armando</b:Middle>
          </b:Person>
          <b:Person>
            <b:Last>Castro</b:Last>
            <b:First>Castro</b:First>
            <b:Middle>Martha Lenis</b:Middle>
          </b:Person>
          <b:Person>
            <b:Last>Jaime</b:Last>
            <b:First>Vivas</b:First>
            <b:Middle>Ricardo Vicente</b:Middle>
          </b:Person>
          <b:Person>
            <b:Last>Chinchilla</b:Last>
            <b:First>Rueda</b:First>
            <b:Middle>Alix Cecilia</b:Middle>
          </b:Person>
        </b:NameList>
      </b:Author>
    </b:Author>
    <b:Title>Herramientas de aprendizaje colaborativo utilizadas en programas de educación superior virtuales: una revisión sistemática de la literatura en Iberoamérica</b:Title>
    <b:JournalName>IEEE Xplore</b:JournalName>
    <b:Year>2020</b:Year>
    <b:DOI>10.23919/CISTI49556.2020.9140901</b:DOI>
    <b:RefOrder>5</b:RefOrder>
  </b:Source>
  <b:Source>
    <b:Tag>Leu19</b:Tag>
    <b:SourceType>JournalArticle</b:SourceType>
    <b:Guid>{6442EC3B-D024-4670-99C6-6A36B986BCC3}</b:Guid>
    <b:Author>
      <b:Author>
        <b:NameList>
          <b:Person>
            <b:Last>Leutprecht</b:Last>
            <b:First>Douglas</b:First>
            <b:Middle>Bahr</b:Middle>
          </b:Person>
          <b:Person>
            <b:Last>Dallabrida</b:Last>
            <b:First>Norberto</b:First>
          </b:Person>
        </b:NameList>
      </b:Author>
    </b:Author>
    <b:Title>Usos de la pedagogía racionalista en la Escuela Moderna Nº 1 de São Paulo (1913-1919)</b:Title>
    <b:JournalName>Historia y Memoria de la Educación</b:JournalName>
    <b:Year>2019</b:Year>
    <b:Pages>397–431</b:Pages>
    <b:Volume>11</b:Volume>
    <b:DOI>10.5944/hme.11.2020.23952</b:DOI>
    <b:RefOrder>6</b:RefOrder>
  </b:Source>
  <b:Source>
    <b:Tag>Ros23</b:Tag>
    <b:SourceType>JournalArticle</b:SourceType>
    <b:Guid>{9DF75832-157F-4F31-95B2-376F09750DFD}</b:Guid>
    <b:Author>
      <b:Author>
        <b:NameList>
          <b:Person>
            <b:Last>Rossetti</b:Last>
            <b:First>López</b:First>
            <b:Middle>Sergio Ramón</b:Middle>
          </b:Person>
          <b:Person>
            <b:Last>Coronado</b:Last>
            <b:First>García</b:First>
            <b:Middle>Manuel Arturo</b:Middle>
          </b:Person>
          <b:Person>
            <b:Last>Rojas</b:Last>
            <b:First>Rodríguez</b:First>
            <b:Middle>Isaac Shamir</b:Middle>
          </b:Person>
        </b:NameList>
      </b:Author>
    </b:Author>
    <b:Title>Percepción de los estudiantes sobre el uso de actividades interactivas con H5P</b:Title>
    <b:JournalName>Revista Iberoamericana De Educación Superior</b:JournalName>
    <b:Year>2023</b:Year>
    <b:Pages>59–76</b:Pages>
    <b:Volume>14</b:Volume>
    <b:Issue>40</b:Issue>
    <b:DOI>10.22201/iisue.20072872e.2023.40.1545</b:DOI>
    <b:RefOrder>7</b:RefOrder>
  </b:Source>
  <b:Source>
    <b:Tag>Cob24</b:Tag>
    <b:SourceType>JournalArticle</b:SourceType>
    <b:Guid>{57C81222-66E5-4CE2-940A-B288597FA1A0}</b:Guid>
    <b:Author>
      <b:Author>
        <b:NameList>
          <b:Person>
            <b:Last>Cobo</b:Last>
            <b:First>Rendón</b:First>
            <b:Middle>Rubia</b:Middle>
          </b:Person>
          <b:Person>
            <b:Last>López</b:Last>
            <b:First>Angulo</b:First>
            <b:Middle>Yaranay</b:Middle>
          </b:Person>
          <b:Person>
            <b:Last>Sáez</b:Last>
            <b:First>Delgado</b:First>
            <b:Middle>Fabiola</b:Middle>
          </b:Person>
          <b:Person>
            <b:Last>Mella</b:Last>
            <b:First>Norambuena</b:First>
            <b:Middle>Javier</b:Middle>
          </b:Person>
        </b:NameList>
      </b:Author>
    </b:Author>
    <b:Title>Explorando el bienestar estudiantil: El impacto de la percepción de autonomía en estudiantes de Psicología</b:Title>
    <b:JournalName>Revista De Ciencias Sociales</b:JournalName>
    <b:Year>2024</b:Year>
    <b:Pages>569-582</b:Pages>
    <b:Volume>30</b:Volume>
    <b:Issue>3</b:Issue>
    <b:DOI>10.31876/rcs.v30i3.42696</b:DOI>
    <b:RefOrder>8</b:RefOrder>
  </b:Source>
  <b:Source>
    <b:Tag>Dáv24</b:Tag>
    <b:SourceType>JournalArticle</b:SourceType>
    <b:Guid>{292C6C0D-BF3E-4568-B649-F6B122DEF4D3}</b:Guid>
    <b:Author>
      <b:Author>
        <b:NameList>
          <b:Person>
            <b:Last>Dávila</b:Last>
            <b:First>Ramírez</b:First>
            <b:Middle>Juan Romeo</b:Middle>
          </b:Person>
          <b:Person>
            <b:Last>Huertas</b:Last>
            <b:First>Martínez</b:First>
            <b:Middle>Juan Antonio</b:Middle>
          </b:Person>
        </b:NameList>
      </b:Author>
    </b:Author>
    <b:Title>Evaluación formativa y calidad de la retroalimentación: diseño y validación de escalas para profesores escolares</b:Title>
    <b:JournalName>Educacion XXI</b:JournalName>
    <b:Year>2024</b:Year>
    <b:Volume>27</b:Volume>
    <b:Issue>2</b:Issue>
    <b:DOI>10.5944/educxx1.38283</b:DOI>
    <b:RefOrder>9</b:RefOrder>
  </b:Source>
  <b:Source>
    <b:Tag>Orj24</b:Tag>
    <b:SourceType>JournalArticle</b:SourceType>
    <b:Guid>{0F2D3E5E-D43D-420A-85C8-59D8EA4A68D4}</b:Guid>
    <b:Author>
      <b:Author>
        <b:NameList>
          <b:Person>
            <b:Last>Orjuela</b:Last>
            <b:First>Roa</b:First>
            <b:Middle>Cristian Harrison</b:Middle>
          </b:Person>
          <b:Person>
            <b:Last>Bustos</b:Last>
            <b:First>Fuentes</b:First>
            <b:Middle>Yeimy Katherine</b:Middle>
          </b:Person>
          <b:Person>
            <b:Last>Plaza</b:Last>
            <b:First>Maldonado</b:First>
            <b:Middle>Rodrigo</b:Middle>
          </b:Person>
          <b:Person>
            <b:Last>Lesmes</b:Last>
            <b:First>Martínez</b:First>
            <b:Middle>Óscar Mauricio</b:Middle>
          </b:Person>
          <b:Person>
            <b:Last>Castañeda</b:Last>
            <b:First>Polanco</b:First>
            <b:Middle>Juan Gabriel</b:Middle>
          </b:Person>
        </b:NameList>
      </b:Author>
    </b:Author>
    <b:Title>Evaluación de aprendizajes desde un eje articulador: una experiencia formativa</b:Title>
    <b:JournalName>Salud, Ciencia y Tecnología</b:JournalName>
    <b:Year>2024</b:Year>
    <b:Volume>4</b:Volume>
    <b:DOI>10.56294/saludcyt2024.983</b:DOI>
    <b:RefOrder>10</b:RefOrder>
  </b:Source>
  <b:Source>
    <b:Tag>Her243</b:Tag>
    <b:SourceType>JournalArticle</b:SourceType>
    <b:Guid>{53B5F753-838C-4C9F-B901-6C0F8F37D624}</b:Guid>
    <b:Author>
      <b:Author>
        <b:NameList>
          <b:Person>
            <b:Last>Hernández</b:Last>
            <b:First>Sellés</b:First>
            <b:Middle>Núria</b:Middle>
          </b:Person>
          <b:Person>
            <b:Last>Muñoz</b:Last>
            <b:First>Carril</b:First>
            <b:Middle>Pablo César</b:Middle>
          </b:Person>
          <b:Person>
            <b:Last>González</b:Last>
            <b:First>Sanmamed</b:First>
            <b:Middle>Mercedes</b:Middle>
          </b:Person>
        </b:NameList>
      </b:Author>
    </b:Author>
    <b:Title>Aprendizaje colaborativo en entornos digitales</b:Title>
    <b:JournalName>RIED-Revista Iberoamericana de Educación a Distancia</b:JournalName>
    <b:Year>2024</b:Year>
    <b:Volume>27</b:Volume>
    <b:Issue>2</b:Issue>
    <b:DOI>10.5944/ried.27.2.40208</b:DOI>
    <b:RefOrder>11</b:RefOrder>
  </b:Source>
  <b:Source>
    <b:Tag>Rom21</b:Tag>
    <b:SourceType>ConferenceProceedings</b:SourceType>
    <b:Guid>{4DAFE153-6991-4F8D-98B7-8EDDDDAE2C06}</b:Guid>
    <b:Title>Necesidad de formular estándares para el uso de herramientas digitales en campus virtuales: un estudio experimental</b:Title>
    <b:Year>2021</b:Year>
    <b:DOI>10.23919/CISTI52073.2021.9476530</b:DOI>
    <b:ConferenceName>XVI Congreso Ibérico de Sistemas y Tecnologías de la Información (CISTI) 2021</b:ConferenceName>
    <b:City>Chaves, Portugal</b:City>
    <b:Publisher>IEEE Xplore</b:Publisher>
    <b:URL>https://ieeexplore.ieee.org/document/9476530</b:URL>
    <b:Author>
      <b:Author>
        <b:NameList>
          <b:Person>
            <b:Last>Romero</b:Last>
            <b:First>Moreno</b:First>
            <b:Middle>Luisa María</b:Middle>
          </b:Person>
        </b:NameList>
      </b:Author>
    </b:Author>
    <b:RefOrder>12</b:RefOrder>
  </b:Source>
  <b:Source>
    <b:Tag>Vie24</b:Tag>
    <b:SourceType>JournalArticle</b:SourceType>
    <b:Guid>{6471784C-AEA3-4C59-83FE-60DFD0A26B79}</b:Guid>
    <b:Title>Estrategias para el desarrollo de habilidades duras en estudiantes de educación superior a través de tecnologías pedagógicas innovadoras en entornos profesionales realistas</b:Title>
    <b:Year>2024</b:Year>
    <b:DOI>10.56294/sctconf20241147</b:DOI>
    <b:Author>
      <b:Author>
        <b:NameList>
          <b:Person>
            <b:Last>Vieilandia</b:Last>
            <b:First>Lilia</b:First>
          </b:Person>
          <b:Person>
            <b:Last>Soloveichuk</b:Last>
            <b:First>Elena</b:First>
          </b:Person>
          <b:Person>
            <b:Last>Petryk</b:Last>
            <b:First>Lada</b:First>
          </b:Person>
          <b:Person>
            <b:Last>Kosharna</b:Last>
            <b:First>Natalia</b:First>
          </b:Person>
          <b:Person>
            <b:Last>Dzhurylo</b:Last>
            <b:First>Alina</b:First>
          </b:Person>
        </b:NameList>
      </b:Author>
    </b:Author>
    <b:JournalName>Salud, Ciencia y Tecnología</b:JournalName>
    <b:Volume>3</b:Volume>
    <b:RefOrder>13</b:RefOrder>
  </b:Source>
  <b:Source>
    <b:Tag>Nov23</b:Tag>
    <b:SourceType>JournalArticle</b:SourceType>
    <b:Guid>{6F50B249-C308-457A-A451-7800FF6738BB}</b:Guid>
    <b:Author>
      <b:Author>
        <b:NameList>
          <b:Person>
            <b:Last>Novella</b:Last>
            <b:First>García</b:First>
            <b:Middle>Carlos</b:Middle>
          </b:Person>
          <b:Person>
            <b:Last>Stigliano</b:Last>
            <b:First>Daniel</b:First>
            <b:Middle>Ernesto</b:Middle>
          </b:Person>
        </b:NameList>
      </b:Author>
    </b:Author>
    <b:Title>La emergencia educativa ante el desafío pandémico mundial. La brecha digital y la falta de igualdad de oportunidades</b:Title>
    <b:JournalName>Revista Complutense de Educación</b:JournalName>
    <b:Year>2023</b:Year>
    <b:Pages>617-627</b:Pages>
    <b:Volume>34</b:Volume>
    <b:Issue>3</b:Issue>
    <b:DOI>10.5209/rced.79859</b:DOI>
    <b:RefOrder>14</b:RefOrder>
  </b:Source>
  <b:Source>
    <b:Tag>Orb24</b:Tag>
    <b:SourceType>JournalArticle</b:SourceType>
    <b:Guid>{7B4D6780-1370-4F89-B25D-6A9FC5A40624}</b:Guid>
    <b:Author>
      <b:Author>
        <b:NameList>
          <b:Person>
            <b:Last>Orbegoso</b:Last>
            <b:First>Dávila</b:First>
            <b:Middle>Luis</b:Middle>
          </b:Person>
          <b:Person>
            <b:Last>Vásquez</b:Last>
            <b:First>Alburqueque</b:First>
            <b:Middle>Iris Liliana</b:Middle>
          </b:Person>
          <b:Person>
            <b:Last>Ledesma</b:Last>
            <b:First>Pérez</b:First>
            <b:Middle>Fernando</b:Middle>
          </b:Person>
          <b:Person>
            <b:Last>Chunga</b:Last>
            <b:First>Amaya</b:First>
            <b:Middle>Wilson Hugo</b:Middle>
          </b:Person>
        </b:NameList>
      </b:Author>
    </b:Author>
    <b:Title>Carga cognitiva en el aprendizaje colaborativo: Una revisión sistemática</b:Title>
    <b:JournalName>Revista De Ciencias Sociales</b:JournalName>
    <b:Year>2024</b:Year>
    <b:Pages>387-402</b:Pages>
    <b:Volume>30</b:Volume>
    <b:Issue>2</b:Issue>
    <b:DOI>10.31876/rcs.v30i2.41917</b:DOI>
    <b:RefOrder>15</b:RefOrder>
  </b:Source>
  <b:Source>
    <b:Tag>Nad18</b:Tag>
    <b:SourceType>JournalArticle</b:SourceType>
    <b:Guid>{D657A3DD-E1C8-4729-BAE3-38B30DFC6CFE}</b:Guid>
    <b:Author>
      <b:Author>
        <b:NameList>
          <b:Person>
            <b:Last>Nadelson</b:Last>
            <b:First>Luis</b:First>
            <b:Middle>S.</b:Middle>
          </b:Person>
          <b:Person>
            <b:Last>Heddy</b:Last>
            <b:First>Benjamín</b:First>
            <b:Middle>C.</b:Middle>
          </b:Person>
          <b:Person>
            <b:Last>Jones</b:Last>
            <b:First>Suzanne</b:First>
          </b:Person>
          <b:Person>
            <b:Last>Taasoobshirazi</b:Last>
            <b:First>Gita</b:First>
          </b:Person>
          <b:Person>
            <b:Last>Johnson</b:Last>
            <b:First>Marcus</b:First>
          </b:Person>
        </b:NameList>
      </b:Author>
    </b:Author>
    <b:Title>Cambio conceptual en la enseñanza y el aprendizaje de las ciencias: introducción al modelo dinámico del cambio conceptual</b:Title>
    <b:JournalName>Revista internacional de psicología educativa </b:JournalName>
    <b:Year>2018</b:Year>
    <b:Pages>151–195</b:Pages>
    <b:Volume>7</b:Volume>
    <b:Issue>2</b:Issue>
    <b:DOI>10.17583/ijep.2018.3349</b:DOI>
    <b:RefOrder>16</b:RefOrder>
  </b:Source>
  <b:Source>
    <b:Tag>Sil22</b:Tag>
    <b:SourceType>JournalArticle</b:SourceType>
    <b:Guid>{527DF8DD-D962-4FFB-9DC5-C59C3DE81730}</b:Guid>
    <b:Author>
      <b:Author>
        <b:NameList>
          <b:Person>
            <b:Last>Silva</b:Last>
            <b:First>Monsalve</b:First>
            <b:Middle>Alexandra María</b:Middle>
          </b:Person>
          <b:Person>
            <b:Last>Bohórquez</b:Last>
            <b:First>Ramírez</b:First>
            <b:Middle>Gabriela</b:Middle>
          </b:Person>
        </b:NameList>
      </b:Author>
    </b:Author>
    <b:Title>Design and Validation of the Software for Strengthening Logical Mathematical Thinking (Logical Brain)</b:Title>
    <b:JournalName>ECHNO REVIEW. International Technology, Science and Society Review Revista Internacional De Tecnología, Ciencia Y Sociedad</b:JournalName>
    <b:Year>2022</b:Year>
    <b:Pages>1-12</b:Pages>
    <b:Volume>11</b:Volume>
    <b:Issue>1</b:Issue>
    <b:DOI>10.37467/gkarevtechno.v11.2857</b:DOI>
    <b:RefOrder>17</b:RefOrder>
  </b:Source>
  <b:Source>
    <b:Tag>Car22</b:Tag>
    <b:SourceType>JournalArticle</b:SourceType>
    <b:Guid>{E6463970-376A-4FCC-9822-E9E6732EA6F4}</b:Guid>
    <b:Author>
      <b:Author>
        <b:NameList>
          <b:Person>
            <b:Last>Carvajal</b:Last>
            <b:First>Christian</b:First>
            <b:Middle>Alfaro</b:Middle>
          </b:Person>
          <b:Person>
            <b:Last>Flores</b:Last>
            <b:First>Martínez</b:First>
            <b:Middle>Pablo</b:Middle>
          </b:Person>
          <b:Person>
            <b:Last>Valverde</b:Last>
            <b:First>Soto</b:First>
            <b:Middle>Gabriela</b:Middle>
          </b:Person>
        </b:NameList>
      </b:Author>
    </b:Author>
    <b:Title>Conocimientos de los profesores de matemáticas en formación inicial respecto a las demostraciones matemáticas: Aspectos lógico-matemáticos en la evaluación de argumentos</b:Title>
    <b:JournalName>Uniciencia</b:JournalName>
    <b:Year>2022</b:Year>
    <b:Pages>1-25</b:Pages>
    <b:Volume>36</b:Volume>
    <b:Issue>1</b:Issue>
    <b:DOI>10.15359/ru.36-1.9</b:DOI>
    <b:RefOrder>18</b:RefOrder>
  </b:Source>
  <b:Source>
    <b:Tag>Pin20</b:Tag>
    <b:SourceType>Book</b:SourceType>
    <b:Guid>{7805C669-E9A4-4BAC-9D8D-B066DE3B4115}</b:Guid>
    <b:Author>
      <b:Author>
        <b:Corporate>Ping,, L. Y., Heng, L. K., Ean, T. C., &amp; Kai, O. J.</b:Corporate>
      </b:Author>
    </b:Author>
    <b:Title>Investigación sobre la eficacia de un concurso interuniversitario de acciones para fomentar la cultura bursátil entre los jóvenes.</b:Title>
    <b:Year>2020</b:Year>
    <b:Publisher>International Journal of Academic Research in Business and Social Sciences</b:Publisher>
    <b:Pages> 10(5), 86-101.</b:Pages>
    <b:RefOrder>1</b:RefOrder>
  </b:Source>
  <b:Source>
    <b:Tag>Obe24</b:Tag>
    <b:SourceType>Report</b:SourceType>
    <b:Guid>{313AF540-E936-45D4-A5F2-F917EF93B8CE}</b:Guid>
    <b:Title>Financial Education or Incentivizing Learning-By-Doing?</b:Title>
    <b:Year>2024</b:Year>
    <b:Publisher>ScienceDirect. </b:Publisher>
    <b:Author>
      <b:Author>
        <b:Corporate>Oberrauch, L., et al. </b:Corporate>
      </b:Author>
    </b:Author>
    <b:URL> https://doi.org/10.1016/j.jbef.2024.100954</b:URL>
    <b:RefOrder>2</b:RefOrder>
  </b:Source>
  <b:Source>
    <b:Tag>Ort21</b:Tag>
    <b:SourceType>Report</b:SourceType>
    <b:Guid>{2C9C33D3-4AC0-4D66-BC5E-C8446404FCEB}</b:Guid>
    <b:Author>
      <b:Author>
        <b:Corporate>Ortega, M. V., Montes, L. S. P., &amp; Paz, D. M. Á.  </b:Corporate>
      </b:Author>
    </b:Author>
    <b:Title>Los simuladores educativos como instrumento pedagógico para la enseñanza de las finanzas.</b:Title>
    <b:Year>2021</b:Year>
    <b:Publisher>Revista Boletín Redipe</b:Publisher>
    <b:Pages>10(7), 97-105.</b:Pages>
    <b:DOI> https://doi.org/10.36260/rbr.v10i7.1351</b:DOI>
    <b:RefOrder>3</b:RefOrder>
  </b:Source>
  <b:Source>
    <b:Tag>Sil20</b:Tag>
    <b:SourceType>Report</b:SourceType>
    <b:Guid>{1D15F4C9-7FBC-4904-B8AA-3E56CBF9C96F}</b:Guid>
    <b:Author>
      <b:Author>
        <b:Corporate>Silva, J. P. C., Pinargote, H. M. P., &amp; Aveiga, K. L. S. </b:Corporate>
      </b:Author>
    </b:Author>
    <b:Title>Contribución del mercado bursátil al crecimiento y modernización de la economía Ecuatoriana.</b:Title>
    <b:Year>2020</b:Year>
    <b:Publisher>Revista Venezolana de Gerencia: RVG</b:Publisher>
    <b:City>Venezuela</b:City>
    <b:Pages>25(89), 37-54.</b:Pages>
    <b:URL>https://dialnet.unirioja.es/servlet/articulo?codigo=8890252</b:URL>
    <b:RefOrder>4</b:RefOrder>
  </b:Source>
</b:Sourc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d54ae49-a220-4243-8865-24ed1d3dd611">
      <Terms xmlns="http://schemas.microsoft.com/office/infopath/2007/PartnerControls"/>
    </lcf76f155ced4ddcb4097134ff3c332f>
    <TaxCatchAll xmlns="7790a052-b362-4c91-b6a5-e0c94bc6dbb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C37FB1B4DD30C24BBAA1D8CD69507943" ma:contentTypeVersion="14" ma:contentTypeDescription="Crear nuevo documento." ma:contentTypeScope="" ma:versionID="cd9824f8bfedc56301169405f5df52cb">
  <xsd:schema xmlns:xsd="http://www.w3.org/2001/XMLSchema" xmlns:xs="http://www.w3.org/2001/XMLSchema" xmlns:p="http://schemas.microsoft.com/office/2006/metadata/properties" xmlns:ns2="7d54ae49-a220-4243-8865-24ed1d3dd611" xmlns:ns3="7790a052-b362-4c91-b6a5-e0c94bc6dbbb" targetNamespace="http://schemas.microsoft.com/office/2006/metadata/properties" ma:root="true" ma:fieldsID="98bb2faa44b3cb59c637e94fe7a0635b" ns2:_="" ns3:_="">
    <xsd:import namespace="7d54ae49-a220-4243-8865-24ed1d3dd611"/>
    <xsd:import namespace="7790a052-b362-4c91-b6a5-e0c94bc6db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54ae49-a220-4243-8865-24ed1d3dd6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b36ae4e-6118-44e5-886c-51967f4ec9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0a052-b362-4c91-b6a5-e0c94bc6dbbb"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8" nillable="true" ma:displayName="Taxonomy Catch All Column" ma:hidden="true" ma:list="{0afb9800-279b-4fbb-8eb6-0fc9b5ca6e26}" ma:internalName="TaxCatchAll" ma:showField="CatchAllData" ma:web="7790a052-b362-4c91-b6a5-e0c94bc6d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FD3C6-2AD3-4D00-8249-BAF620F75505}">
  <ds:schemaRefs>
    <ds:schemaRef ds:uri="http://schemas.microsoft.com/sharepoint/v3/contenttype/forms"/>
  </ds:schemaRefs>
</ds:datastoreItem>
</file>

<file path=customXml/itemProps2.xml><?xml version="1.0" encoding="utf-8"?>
<ds:datastoreItem xmlns:ds="http://schemas.openxmlformats.org/officeDocument/2006/customXml" ds:itemID="{3D8BD8E7-130E-4DAC-8CB5-8C74A42CE062}">
  <ds:schemaRefs>
    <ds:schemaRef ds:uri="http://schemas.openxmlformats.org/officeDocument/2006/bibliography"/>
  </ds:schemaRefs>
</ds:datastoreItem>
</file>

<file path=customXml/itemProps3.xml><?xml version="1.0" encoding="utf-8"?>
<ds:datastoreItem xmlns:ds="http://schemas.openxmlformats.org/officeDocument/2006/customXml" ds:itemID="{AB5E0082-0359-44FB-9387-12FC8F8FEBBF}">
  <ds:schemaRefs>
    <ds:schemaRef ds:uri="http://schemas.microsoft.com/office/2006/metadata/properties"/>
    <ds:schemaRef ds:uri="http://schemas.microsoft.com/office/infopath/2007/PartnerControls"/>
    <ds:schemaRef ds:uri="7d54ae49-a220-4243-8865-24ed1d3dd611"/>
    <ds:schemaRef ds:uri="7790a052-b362-4c91-b6a5-e0c94bc6dbbb"/>
  </ds:schemaRefs>
</ds:datastoreItem>
</file>

<file path=customXml/itemProps4.xml><?xml version="1.0" encoding="utf-8"?>
<ds:datastoreItem xmlns:ds="http://schemas.openxmlformats.org/officeDocument/2006/customXml" ds:itemID="{EC6F3C3D-4206-44AB-8E78-C4E7EE687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54ae49-a220-4243-8865-24ed1d3dd611"/>
    <ds:schemaRef ds:uri="7790a052-b362-4c91-b6a5-e0c94bc6d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5771</Words>
  <Characters>31741</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Darwin Lozada</dc:creator>
  <cp:lastModifiedBy>SURFACE</cp:lastModifiedBy>
  <cp:revision>2</cp:revision>
  <cp:lastPrinted>2025-12-06T06:01:00Z</cp:lastPrinted>
  <dcterms:created xsi:type="dcterms:W3CDTF">2026-08-03T19:58:00Z</dcterms:created>
  <dcterms:modified xsi:type="dcterms:W3CDTF">2026-08-03T19:58:00Z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0x010100C37FB1B4DD30C24BBAA1D8CD69507943</vt:lpwstr>
  </property>
  <property fmtid="{D5CDD505-2E9C-101B-9397-08002B2CF9AE}" pid="3" name="MediaServiceImageTags">
    <vt:lpwstr/>
  </property>
</Properties>
</file>