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3A7D00" w14:textId="46C1D2E6" w:rsidR="004876AA" w:rsidRPr="004876AA" w:rsidRDefault="004876AA" w:rsidP="004876AA">
      <w:pPr>
        <w:spacing w:before="240"/>
        <w:contextualSpacing/>
        <w:jc w:val="right"/>
        <w:rPr>
          <w:rFonts w:cs="Times New Roman"/>
          <w:b/>
          <w:sz w:val="28"/>
          <w:szCs w:val="28"/>
          <w:lang w:val="es-ES"/>
        </w:rPr>
      </w:pPr>
      <w:r w:rsidRPr="004876AA">
        <w:rPr>
          <w:rFonts w:cs="Times New Roman"/>
          <w:b/>
          <w:bCs/>
          <w:sz w:val="28"/>
          <w:szCs w:val="28"/>
        </w:rPr>
        <w:t>SSMS-Vol.3. N1. 082</w:t>
      </w:r>
    </w:p>
    <w:p w14:paraId="6E3BB551" w14:textId="0EA1AE33" w:rsidR="00AC10E8" w:rsidRPr="002B428A" w:rsidRDefault="00A81288" w:rsidP="00B37543">
      <w:pPr>
        <w:spacing w:line="276" w:lineRule="auto"/>
        <w:rPr>
          <w:rFonts w:cs="Times New Roman"/>
          <w:b/>
          <w:bCs/>
          <w:sz w:val="28"/>
          <w:szCs w:val="28"/>
        </w:rPr>
      </w:pPr>
      <w:bookmarkStart w:id="0" w:name="_Hlk213447081"/>
      <w:r w:rsidRPr="002B428A">
        <w:rPr>
          <w:rFonts w:cs="Times New Roman"/>
          <w:b/>
          <w:bCs/>
          <w:sz w:val="28"/>
          <w:szCs w:val="28"/>
        </w:rPr>
        <w:t>El impacto del cumplimiento normativo en procesos de contratación de obras del Gobierno Autónomo Descentralizado Municipal de Archidona 2021</w:t>
      </w:r>
    </w:p>
    <w:bookmarkEnd w:id="0"/>
    <w:p w14:paraId="33DB011B" w14:textId="7FB99BF9" w:rsidR="00A81288" w:rsidRPr="002B428A" w:rsidRDefault="00A81288" w:rsidP="00B37543">
      <w:pPr>
        <w:spacing w:line="276" w:lineRule="auto"/>
        <w:rPr>
          <w:rFonts w:cs="Times New Roman"/>
          <w:b/>
          <w:i/>
          <w:iCs/>
          <w:color w:val="FF0000"/>
          <w:sz w:val="28"/>
          <w:szCs w:val="28"/>
          <w:lang w:val="en-GB"/>
        </w:rPr>
      </w:pPr>
      <w:r w:rsidRPr="002B428A">
        <w:rPr>
          <w:rFonts w:cs="Times New Roman"/>
          <w:b/>
          <w:i/>
          <w:iCs/>
          <w:color w:val="FF0000"/>
          <w:sz w:val="28"/>
          <w:szCs w:val="28"/>
          <w:lang w:val="en"/>
        </w:rPr>
        <w:t xml:space="preserve">The impact of regulatory compliance on the contracting processes of the Decentralized Autonomous Municipal Government of </w:t>
      </w:r>
      <w:proofErr w:type="spellStart"/>
      <w:r w:rsidRPr="002B428A">
        <w:rPr>
          <w:rFonts w:cs="Times New Roman"/>
          <w:b/>
          <w:i/>
          <w:iCs/>
          <w:color w:val="FF0000"/>
          <w:sz w:val="28"/>
          <w:szCs w:val="28"/>
          <w:lang w:val="en"/>
        </w:rPr>
        <w:t>Archidona</w:t>
      </w:r>
      <w:proofErr w:type="spellEnd"/>
      <w:r w:rsidRPr="002B428A">
        <w:rPr>
          <w:rFonts w:cs="Times New Roman"/>
          <w:b/>
          <w:i/>
          <w:iCs/>
          <w:color w:val="FF0000"/>
          <w:sz w:val="28"/>
          <w:szCs w:val="28"/>
          <w:lang w:val="en"/>
        </w:rPr>
        <w:t xml:space="preserve"> 2021</w:t>
      </w:r>
    </w:p>
    <w:p w14:paraId="5EF266A0" w14:textId="73C62E30" w:rsidR="009322EE" w:rsidRPr="002B428A" w:rsidRDefault="009322EE">
      <w:pPr>
        <w:rPr>
          <w:rFonts w:cs="Times New Roman"/>
          <w:b/>
          <w:i/>
          <w:iCs/>
          <w:color w:val="FF0000"/>
          <w:sz w:val="28"/>
          <w:szCs w:val="28"/>
          <w:lang w:val="en-GB"/>
        </w:rPr>
      </w:pPr>
    </w:p>
    <w:p w14:paraId="46F9C6EF" w14:textId="74ABEF83" w:rsidR="003D4D92" w:rsidRPr="002B428A" w:rsidRDefault="003D4D92" w:rsidP="00B37543">
      <w:pPr>
        <w:spacing w:line="240" w:lineRule="auto"/>
        <w:jc w:val="right"/>
        <w:rPr>
          <w:rFonts w:eastAsia="Times New Roman" w:cs="Times New Roman"/>
          <w:b/>
          <w:sz w:val="22"/>
          <w:szCs w:val="20"/>
        </w:rPr>
      </w:pPr>
      <w:r w:rsidRPr="002B428A">
        <w:rPr>
          <w:rFonts w:eastAsia="Times New Roman" w:cs="Times New Roman"/>
          <w:b/>
          <w:sz w:val="22"/>
          <w:szCs w:val="20"/>
        </w:rPr>
        <w:t>Autores:</w:t>
      </w:r>
    </w:p>
    <w:p w14:paraId="56779AE2" w14:textId="77777777" w:rsidR="00B37543" w:rsidRPr="002B428A" w:rsidRDefault="00B37543" w:rsidP="00B37543">
      <w:pPr>
        <w:spacing w:line="240" w:lineRule="auto"/>
        <w:jc w:val="right"/>
        <w:rPr>
          <w:rFonts w:cs="Times New Roman"/>
          <w:color w:val="000000" w:themeColor="text1"/>
          <w:sz w:val="22"/>
          <w:szCs w:val="20"/>
        </w:rPr>
      </w:pPr>
      <w:r w:rsidRPr="002B428A">
        <w:rPr>
          <w:rFonts w:cs="Times New Roman"/>
          <w:color w:val="000000" w:themeColor="text1"/>
          <w:sz w:val="22"/>
          <w:szCs w:val="20"/>
        </w:rPr>
        <w:t>Jessica Patricia Chiliquinga Cando</w:t>
      </w:r>
      <w:r w:rsidRPr="002B428A">
        <w:rPr>
          <w:rFonts w:cs="Times New Roman"/>
          <w:color w:val="000000" w:themeColor="text1"/>
          <w:sz w:val="22"/>
          <w:szCs w:val="20"/>
        </w:rPr>
        <w:br/>
        <w:t>Universidad Bolivariana del Ecuador</w:t>
      </w:r>
      <w:r w:rsidRPr="002B428A">
        <w:rPr>
          <w:rFonts w:cs="Times New Roman"/>
          <w:color w:val="000000" w:themeColor="text1"/>
          <w:sz w:val="22"/>
          <w:szCs w:val="20"/>
        </w:rPr>
        <w:br/>
        <w:t>Napo – Ecuador</w:t>
      </w:r>
      <w:r w:rsidRPr="002B428A">
        <w:rPr>
          <w:rFonts w:cs="Times New Roman"/>
          <w:color w:val="000000" w:themeColor="text1"/>
          <w:sz w:val="22"/>
          <w:szCs w:val="20"/>
        </w:rPr>
        <w:br/>
      </w:r>
      <w:hyperlink r:id="rId11" w:history="1">
        <w:r w:rsidRPr="002B428A">
          <w:rPr>
            <w:rStyle w:val="Hipervnculo"/>
            <w:rFonts w:cs="Times New Roman"/>
            <w:sz w:val="22"/>
            <w:szCs w:val="20"/>
          </w:rPr>
          <w:t>jpchiliquingac@ube.edu.ec</w:t>
        </w:r>
      </w:hyperlink>
      <w:r w:rsidRPr="002B428A">
        <w:rPr>
          <w:rFonts w:cs="Times New Roman"/>
          <w:color w:val="000000" w:themeColor="text1"/>
          <w:sz w:val="22"/>
          <w:szCs w:val="20"/>
        </w:rPr>
        <w:br/>
      </w:r>
      <w:hyperlink r:id="rId12" w:history="1">
        <w:r w:rsidRPr="002B428A">
          <w:rPr>
            <w:rStyle w:val="Hipervnculo"/>
            <w:rFonts w:cs="Times New Roman"/>
            <w:sz w:val="22"/>
            <w:szCs w:val="20"/>
          </w:rPr>
          <w:t>https://orcid.org/0000-0001-9125-9664</w:t>
        </w:r>
      </w:hyperlink>
    </w:p>
    <w:p w14:paraId="644614E6" w14:textId="77777777" w:rsidR="00B37543" w:rsidRPr="002B428A" w:rsidRDefault="00B37543" w:rsidP="00B37543">
      <w:pPr>
        <w:spacing w:line="240" w:lineRule="auto"/>
        <w:jc w:val="right"/>
        <w:rPr>
          <w:rFonts w:cs="Times New Roman"/>
          <w:color w:val="000000" w:themeColor="text1"/>
          <w:sz w:val="22"/>
          <w:szCs w:val="20"/>
        </w:rPr>
      </w:pPr>
    </w:p>
    <w:p w14:paraId="1D97FA6D" w14:textId="4AE97167" w:rsidR="00EF704C" w:rsidRDefault="00B37543" w:rsidP="00EF704C">
      <w:pPr>
        <w:spacing w:line="240" w:lineRule="auto"/>
        <w:jc w:val="right"/>
        <w:rPr>
          <w:rFonts w:cs="Times New Roman"/>
          <w:color w:val="000000" w:themeColor="text1"/>
          <w:sz w:val="22"/>
          <w:szCs w:val="20"/>
        </w:rPr>
      </w:pPr>
      <w:r w:rsidRPr="002B428A">
        <w:rPr>
          <w:rFonts w:cs="Times New Roman"/>
          <w:color w:val="000000" w:themeColor="text1"/>
          <w:sz w:val="22"/>
          <w:szCs w:val="20"/>
        </w:rPr>
        <w:t>Jessica Verónica Calapucha Vargas</w:t>
      </w:r>
      <w:r w:rsidRPr="002B428A">
        <w:rPr>
          <w:rFonts w:cs="Times New Roman"/>
          <w:color w:val="000000" w:themeColor="text1"/>
          <w:sz w:val="22"/>
          <w:szCs w:val="20"/>
        </w:rPr>
        <w:br/>
        <w:t>Universidad Bolivariana del Ecuador</w:t>
      </w:r>
      <w:r w:rsidRPr="002B428A">
        <w:rPr>
          <w:rFonts w:cs="Times New Roman"/>
          <w:color w:val="000000" w:themeColor="text1"/>
          <w:sz w:val="22"/>
          <w:szCs w:val="20"/>
        </w:rPr>
        <w:br/>
        <w:t>Napo – Ecuador</w:t>
      </w:r>
      <w:r w:rsidRPr="002B428A">
        <w:rPr>
          <w:rFonts w:cs="Times New Roman"/>
          <w:color w:val="000000" w:themeColor="text1"/>
          <w:sz w:val="22"/>
          <w:szCs w:val="20"/>
        </w:rPr>
        <w:br/>
      </w:r>
      <w:hyperlink r:id="rId13" w:history="1">
        <w:r w:rsidRPr="002B428A">
          <w:rPr>
            <w:rStyle w:val="Hipervnculo"/>
            <w:rFonts w:cs="Times New Roman"/>
            <w:sz w:val="22"/>
            <w:szCs w:val="20"/>
          </w:rPr>
          <w:t>jvcalapuchav@ube.edu.ec</w:t>
        </w:r>
      </w:hyperlink>
      <w:r w:rsidRPr="002B428A">
        <w:rPr>
          <w:rFonts w:cs="Times New Roman"/>
          <w:color w:val="000000" w:themeColor="text1"/>
          <w:sz w:val="22"/>
          <w:szCs w:val="20"/>
        </w:rPr>
        <w:br/>
      </w:r>
      <w:hyperlink r:id="rId14" w:history="1">
        <w:r w:rsidR="00EF704C" w:rsidRPr="005F7443">
          <w:rPr>
            <w:rStyle w:val="Hipervnculo"/>
            <w:rFonts w:cs="Times New Roman"/>
            <w:sz w:val="22"/>
            <w:szCs w:val="20"/>
          </w:rPr>
          <w:t>https://orcid.org/0009-0005-8224-5259</w:t>
        </w:r>
      </w:hyperlink>
    </w:p>
    <w:p w14:paraId="5F78B625" w14:textId="77777777" w:rsidR="00B37543" w:rsidRPr="002B428A" w:rsidRDefault="00B37543" w:rsidP="00B37543">
      <w:pPr>
        <w:spacing w:line="240" w:lineRule="auto"/>
        <w:jc w:val="right"/>
        <w:rPr>
          <w:rFonts w:cs="Times New Roman"/>
          <w:color w:val="000000" w:themeColor="text1"/>
          <w:sz w:val="22"/>
          <w:szCs w:val="20"/>
        </w:rPr>
      </w:pPr>
    </w:p>
    <w:p w14:paraId="045A0CC8" w14:textId="77777777" w:rsidR="00B37543" w:rsidRPr="002B428A" w:rsidRDefault="00B37543" w:rsidP="00B37543">
      <w:pPr>
        <w:spacing w:line="240" w:lineRule="auto"/>
        <w:jc w:val="right"/>
        <w:rPr>
          <w:rFonts w:cs="Times New Roman"/>
          <w:color w:val="000000" w:themeColor="text1"/>
          <w:sz w:val="22"/>
          <w:szCs w:val="20"/>
        </w:rPr>
      </w:pPr>
      <w:r w:rsidRPr="002B428A">
        <w:rPr>
          <w:rFonts w:cs="Times New Roman"/>
          <w:color w:val="000000" w:themeColor="text1"/>
          <w:sz w:val="22"/>
          <w:szCs w:val="20"/>
        </w:rPr>
        <w:t>Willian Paul Aviles Quiñonez</w:t>
      </w:r>
      <w:r w:rsidRPr="002B428A">
        <w:rPr>
          <w:rFonts w:cs="Times New Roman"/>
          <w:color w:val="000000" w:themeColor="text1"/>
          <w:sz w:val="22"/>
          <w:szCs w:val="20"/>
        </w:rPr>
        <w:br/>
        <w:t>Universidad Bolivariana del Ecuador</w:t>
      </w:r>
      <w:r w:rsidRPr="002B428A">
        <w:rPr>
          <w:rFonts w:cs="Times New Roman"/>
          <w:color w:val="000000" w:themeColor="text1"/>
          <w:sz w:val="22"/>
          <w:szCs w:val="20"/>
        </w:rPr>
        <w:br/>
        <w:t>Guayaquil – Ecuador</w:t>
      </w:r>
      <w:r w:rsidRPr="002B428A">
        <w:rPr>
          <w:rFonts w:cs="Times New Roman"/>
          <w:color w:val="000000" w:themeColor="text1"/>
          <w:sz w:val="22"/>
          <w:szCs w:val="20"/>
        </w:rPr>
        <w:br/>
      </w:r>
      <w:r>
        <w:fldChar w:fldCharType="begin"/>
      </w:r>
      <w:r>
        <w:instrText>HYPERLINK "mailto:wpavilesq@ube.edu.ec"</w:instrText>
      </w:r>
      <w:r>
        <w:fldChar w:fldCharType="separate"/>
      </w:r>
      <w:r w:rsidRPr="002B428A">
        <w:rPr>
          <w:rStyle w:val="Hipervnculo"/>
          <w:rFonts w:cs="Times New Roman"/>
          <w:sz w:val="22"/>
          <w:szCs w:val="20"/>
        </w:rPr>
        <w:t>wpavilesq@ube.edu.ec</w:t>
      </w:r>
      <w:r>
        <w:fldChar w:fldCharType="end"/>
      </w:r>
      <w:r w:rsidRPr="002B428A">
        <w:rPr>
          <w:rFonts w:cs="Times New Roman"/>
          <w:color w:val="000000" w:themeColor="text1"/>
          <w:sz w:val="22"/>
          <w:szCs w:val="20"/>
        </w:rPr>
        <w:br/>
      </w:r>
      <w:hyperlink r:id="rId15" w:history="1">
        <w:r w:rsidRPr="002B428A">
          <w:rPr>
            <w:rStyle w:val="Hipervnculo"/>
            <w:rFonts w:cs="Times New Roman"/>
            <w:sz w:val="22"/>
            <w:szCs w:val="20"/>
          </w:rPr>
          <w:t>https://orcid.org/0009-0001-5026-4114</w:t>
        </w:r>
      </w:hyperlink>
    </w:p>
    <w:p w14:paraId="0F109779" w14:textId="77777777" w:rsidR="00B37543" w:rsidRPr="002B428A" w:rsidRDefault="00B37543" w:rsidP="00B37543">
      <w:pPr>
        <w:spacing w:line="240" w:lineRule="auto"/>
        <w:jc w:val="right"/>
        <w:rPr>
          <w:rFonts w:cs="Times New Roman"/>
          <w:color w:val="000000" w:themeColor="text1"/>
          <w:sz w:val="22"/>
          <w:szCs w:val="20"/>
        </w:rPr>
      </w:pPr>
    </w:p>
    <w:p w14:paraId="0DA910C1" w14:textId="77777777" w:rsidR="00B37543" w:rsidRPr="002B428A" w:rsidRDefault="00B37543" w:rsidP="00B37543">
      <w:pPr>
        <w:spacing w:line="240" w:lineRule="auto"/>
        <w:jc w:val="right"/>
        <w:rPr>
          <w:rFonts w:cs="Times New Roman"/>
          <w:color w:val="000000" w:themeColor="text1"/>
          <w:sz w:val="22"/>
          <w:szCs w:val="20"/>
        </w:rPr>
      </w:pPr>
      <w:r w:rsidRPr="002B428A">
        <w:rPr>
          <w:rFonts w:cs="Times New Roman"/>
          <w:color w:val="000000" w:themeColor="text1"/>
          <w:sz w:val="22"/>
          <w:szCs w:val="20"/>
        </w:rPr>
        <w:t>Dailit Gonzalez Capote</w:t>
      </w:r>
      <w:r w:rsidRPr="002B428A">
        <w:rPr>
          <w:rFonts w:cs="Times New Roman"/>
          <w:color w:val="000000" w:themeColor="text1"/>
          <w:sz w:val="22"/>
          <w:szCs w:val="20"/>
        </w:rPr>
        <w:br/>
        <w:t>Universidad Bolivariana del Ecuador</w:t>
      </w:r>
      <w:r w:rsidRPr="002B428A">
        <w:rPr>
          <w:rFonts w:cs="Times New Roman"/>
          <w:color w:val="000000" w:themeColor="text1"/>
          <w:sz w:val="22"/>
          <w:szCs w:val="20"/>
        </w:rPr>
        <w:br/>
        <w:t>Guayaquil – Ecuador</w:t>
      </w:r>
      <w:r w:rsidRPr="002B428A">
        <w:rPr>
          <w:rFonts w:cs="Times New Roman"/>
          <w:color w:val="000000" w:themeColor="text1"/>
          <w:sz w:val="22"/>
          <w:szCs w:val="20"/>
        </w:rPr>
        <w:br/>
      </w:r>
      <w:hyperlink r:id="rId16" w:history="1">
        <w:r w:rsidRPr="002B428A">
          <w:rPr>
            <w:rStyle w:val="Hipervnculo"/>
            <w:rFonts w:cs="Times New Roman"/>
            <w:sz w:val="22"/>
            <w:szCs w:val="20"/>
          </w:rPr>
          <w:t>dgonzalesc@ube.edu.ec</w:t>
        </w:r>
      </w:hyperlink>
      <w:r w:rsidRPr="002B428A">
        <w:rPr>
          <w:rFonts w:cs="Times New Roman"/>
          <w:color w:val="000000" w:themeColor="text1"/>
          <w:sz w:val="22"/>
          <w:szCs w:val="20"/>
        </w:rPr>
        <w:br/>
      </w:r>
      <w:hyperlink r:id="rId17" w:history="1">
        <w:r w:rsidRPr="002B428A">
          <w:rPr>
            <w:rStyle w:val="Hipervnculo"/>
            <w:rFonts w:cs="Times New Roman"/>
            <w:sz w:val="22"/>
            <w:szCs w:val="20"/>
          </w:rPr>
          <w:t>https://orcid.org/0000-0002-1631-3330</w:t>
        </w:r>
      </w:hyperlink>
    </w:p>
    <w:p w14:paraId="12520E66" w14:textId="4068D338" w:rsidR="00B77EDD" w:rsidRPr="002B428A" w:rsidRDefault="00B77EDD" w:rsidP="00B37543">
      <w:pPr>
        <w:spacing w:line="240" w:lineRule="auto"/>
        <w:jc w:val="right"/>
        <w:rPr>
          <w:rFonts w:cs="Times New Roman"/>
          <w:color w:val="000000" w:themeColor="text1"/>
          <w:sz w:val="22"/>
          <w:szCs w:val="20"/>
        </w:rPr>
      </w:pPr>
    </w:p>
    <w:p w14:paraId="7B6B19D3" w14:textId="77777777" w:rsidR="00B37543" w:rsidRPr="002B428A" w:rsidRDefault="00B37543" w:rsidP="00B37543">
      <w:pPr>
        <w:spacing w:line="240" w:lineRule="auto"/>
        <w:jc w:val="right"/>
        <w:rPr>
          <w:rFonts w:cs="Times New Roman"/>
          <w:color w:val="000000" w:themeColor="text1"/>
          <w:sz w:val="22"/>
          <w:szCs w:val="20"/>
        </w:rPr>
      </w:pPr>
    </w:p>
    <w:p w14:paraId="5471AB7D" w14:textId="77777777" w:rsidR="00B37543" w:rsidRPr="002B428A" w:rsidRDefault="00B37543" w:rsidP="00B37543">
      <w:pPr>
        <w:spacing w:line="240" w:lineRule="auto"/>
        <w:jc w:val="right"/>
        <w:rPr>
          <w:rFonts w:cs="Times New Roman"/>
          <w:color w:val="000000" w:themeColor="text1"/>
          <w:sz w:val="22"/>
          <w:szCs w:val="20"/>
        </w:rPr>
      </w:pPr>
    </w:p>
    <w:p w14:paraId="19C1E5B8" w14:textId="285D3496" w:rsidR="00695BE4" w:rsidRPr="002B428A" w:rsidRDefault="00B37543" w:rsidP="00B37543">
      <w:pPr>
        <w:spacing w:line="240" w:lineRule="auto"/>
        <w:jc w:val="center"/>
        <w:rPr>
          <w:rFonts w:cs="Times New Roman"/>
          <w:noProof/>
          <w:sz w:val="22"/>
          <w:szCs w:val="20"/>
          <w:lang w:eastAsia="es-MX"/>
        </w:rPr>
      </w:pPr>
      <w:r w:rsidRPr="002B428A">
        <w:rPr>
          <w:rFonts w:cs="Times New Roman"/>
          <w:b/>
          <w:sz w:val="22"/>
          <w:szCs w:val="20"/>
        </w:rPr>
        <w:t>Autor de correspondencia</w:t>
      </w:r>
      <w:r w:rsidR="00695BE4" w:rsidRPr="002B428A">
        <w:rPr>
          <w:rFonts w:cs="Times New Roman"/>
          <w:b/>
          <w:sz w:val="22"/>
          <w:szCs w:val="20"/>
        </w:rPr>
        <w:t xml:space="preserve">: </w:t>
      </w:r>
      <w:r w:rsidR="00087063" w:rsidRPr="002B428A">
        <w:rPr>
          <w:rFonts w:cs="Times New Roman"/>
          <w:i/>
          <w:sz w:val="22"/>
          <w:szCs w:val="20"/>
        </w:rPr>
        <w:t>Willian Paul Aviles Quiñonez</w:t>
      </w:r>
      <w:r w:rsidR="00763E1C" w:rsidRPr="002B428A">
        <w:rPr>
          <w:rFonts w:cs="Times New Roman"/>
          <w:noProof/>
          <w:sz w:val="22"/>
          <w:szCs w:val="20"/>
          <w:lang w:eastAsia="es-MX"/>
        </w:rPr>
        <w:t>,</w:t>
      </w:r>
      <w:r w:rsidR="00A81288" w:rsidRPr="002B428A">
        <w:rPr>
          <w:rFonts w:cs="Times New Roman"/>
          <w:noProof/>
          <w:sz w:val="22"/>
          <w:szCs w:val="20"/>
          <w:lang w:eastAsia="es-MX"/>
        </w:rPr>
        <w:t xml:space="preserve"> </w:t>
      </w:r>
      <w:hyperlink r:id="rId18" w:history="1">
        <w:r w:rsidRPr="002B428A">
          <w:rPr>
            <w:rStyle w:val="Hipervnculo"/>
            <w:rFonts w:cs="Times New Roman"/>
            <w:noProof/>
            <w:sz w:val="22"/>
            <w:szCs w:val="20"/>
            <w:lang w:eastAsia="es-MX"/>
          </w:rPr>
          <w:t>wpavilesq@ube.edu.ec</w:t>
        </w:r>
      </w:hyperlink>
    </w:p>
    <w:p w14:paraId="4C160CAB" w14:textId="77777777" w:rsidR="00B37543" w:rsidRPr="002B428A" w:rsidRDefault="00B37543" w:rsidP="00B37543">
      <w:pPr>
        <w:spacing w:line="240" w:lineRule="auto"/>
        <w:jc w:val="center"/>
        <w:rPr>
          <w:rFonts w:cs="Times New Roman"/>
          <w:noProof/>
          <w:sz w:val="22"/>
          <w:szCs w:val="20"/>
          <w:lang w:eastAsia="es-MX"/>
        </w:rPr>
      </w:pPr>
    </w:p>
    <w:p w14:paraId="735CAAB8" w14:textId="77777777" w:rsidR="00B37543" w:rsidRDefault="00B37543" w:rsidP="00B37543">
      <w:pPr>
        <w:spacing w:line="240" w:lineRule="auto"/>
        <w:jc w:val="center"/>
        <w:rPr>
          <w:rFonts w:cs="Times New Roman"/>
          <w:noProof/>
          <w:sz w:val="22"/>
          <w:szCs w:val="20"/>
          <w:lang w:eastAsia="es-MX"/>
        </w:rPr>
      </w:pPr>
    </w:p>
    <w:p w14:paraId="22560089" w14:textId="77777777" w:rsidR="004876AA" w:rsidRPr="004876AA" w:rsidRDefault="004876AA" w:rsidP="004876AA">
      <w:pPr>
        <w:spacing w:line="240" w:lineRule="auto"/>
        <w:jc w:val="center"/>
        <w:rPr>
          <w:rFonts w:cs="Times New Roman"/>
          <w:noProof/>
          <w:sz w:val="20"/>
          <w:szCs w:val="18"/>
          <w:lang w:eastAsia="es-MX"/>
        </w:rPr>
      </w:pPr>
    </w:p>
    <w:p w14:paraId="4FE52E74" w14:textId="77777777" w:rsidR="004876AA" w:rsidRPr="004876AA" w:rsidRDefault="004876AA" w:rsidP="004876AA">
      <w:pPr>
        <w:adjustRightInd w:val="0"/>
        <w:spacing w:line="240" w:lineRule="auto"/>
        <w:jc w:val="center"/>
        <w:rPr>
          <w:b/>
          <w:bCs/>
          <w:sz w:val="22"/>
          <w:szCs w:val="20"/>
          <w:lang w:val="es-ES"/>
        </w:rPr>
      </w:pPr>
      <w:r w:rsidRPr="004876AA">
        <w:rPr>
          <w:b/>
          <w:bCs/>
          <w:sz w:val="22"/>
          <w:szCs w:val="20"/>
          <w:lang w:val="es-ES"/>
        </w:rPr>
        <w:t xml:space="preserve">Enviado: </w:t>
      </w:r>
      <w:r w:rsidRPr="004876AA">
        <w:rPr>
          <w:sz w:val="22"/>
          <w:szCs w:val="20"/>
          <w:lang w:val="es-ES"/>
        </w:rPr>
        <w:t>26-04-2026</w:t>
      </w:r>
      <w:r w:rsidRPr="004876AA">
        <w:rPr>
          <w:b/>
          <w:bCs/>
          <w:sz w:val="22"/>
          <w:szCs w:val="20"/>
          <w:lang w:val="es-ES"/>
        </w:rPr>
        <w:t xml:space="preserve">                      Revisado:  </w:t>
      </w:r>
      <w:r w:rsidRPr="004876AA">
        <w:rPr>
          <w:sz w:val="22"/>
          <w:szCs w:val="20"/>
          <w:lang w:val="es-ES"/>
        </w:rPr>
        <w:t>25-07-2026</w:t>
      </w:r>
    </w:p>
    <w:p w14:paraId="2633FB59" w14:textId="77777777" w:rsidR="004876AA" w:rsidRPr="004876AA" w:rsidRDefault="004876AA" w:rsidP="004876AA">
      <w:pPr>
        <w:adjustRightInd w:val="0"/>
        <w:spacing w:line="240" w:lineRule="auto"/>
        <w:jc w:val="center"/>
        <w:rPr>
          <w:b/>
          <w:bCs/>
          <w:sz w:val="22"/>
          <w:szCs w:val="20"/>
          <w:lang w:val="es-ES"/>
        </w:rPr>
      </w:pPr>
      <w:r w:rsidRPr="004876AA">
        <w:rPr>
          <w:b/>
          <w:bCs/>
          <w:sz w:val="22"/>
          <w:szCs w:val="20"/>
          <w:lang w:val="es-ES"/>
        </w:rPr>
        <w:t xml:space="preserve">Aceptado: </w:t>
      </w:r>
      <w:r w:rsidRPr="004876AA">
        <w:rPr>
          <w:sz w:val="22"/>
          <w:szCs w:val="20"/>
          <w:lang w:val="es-ES"/>
        </w:rPr>
        <w:t>08-09-2026</w:t>
      </w:r>
      <w:r w:rsidRPr="004876AA">
        <w:rPr>
          <w:b/>
          <w:bCs/>
          <w:sz w:val="22"/>
          <w:szCs w:val="20"/>
          <w:lang w:val="es-ES"/>
        </w:rPr>
        <w:t xml:space="preserve">                   Publicado: </w:t>
      </w:r>
      <w:r w:rsidRPr="004876AA">
        <w:rPr>
          <w:sz w:val="22"/>
          <w:szCs w:val="20"/>
          <w:lang w:val="es-ES"/>
        </w:rPr>
        <w:t>09-09-2026</w:t>
      </w:r>
    </w:p>
    <w:p w14:paraId="12EE7188" w14:textId="77777777" w:rsidR="004876AA" w:rsidRPr="008D7ACA" w:rsidRDefault="004876AA" w:rsidP="002D75E9">
      <w:pPr>
        <w:adjustRightInd w:val="0"/>
        <w:spacing w:line="276" w:lineRule="auto"/>
        <w:jc w:val="center"/>
        <w:rPr>
          <w:b/>
          <w:bCs/>
        </w:rPr>
      </w:pPr>
    </w:p>
    <w:p w14:paraId="32A6E116" w14:textId="77777777" w:rsidR="00B37543" w:rsidRPr="002B428A" w:rsidRDefault="00B37543" w:rsidP="00B37543">
      <w:pPr>
        <w:spacing w:line="240" w:lineRule="auto"/>
        <w:jc w:val="center"/>
        <w:rPr>
          <w:rFonts w:eastAsia="Times New Roman" w:cs="Times New Roman"/>
          <w:sz w:val="22"/>
        </w:rPr>
      </w:pPr>
    </w:p>
    <w:p w14:paraId="2E9A6C51" w14:textId="77777777" w:rsidR="00B37543" w:rsidRPr="002B428A" w:rsidRDefault="00B37543" w:rsidP="00B37543">
      <w:pPr>
        <w:spacing w:line="240" w:lineRule="auto"/>
        <w:jc w:val="center"/>
        <w:rPr>
          <w:rFonts w:eastAsia="Times New Roman" w:cs="Times New Roman"/>
          <w:sz w:val="22"/>
        </w:rPr>
      </w:pPr>
    </w:p>
    <w:p w14:paraId="561E1297" w14:textId="77777777" w:rsidR="00B37543" w:rsidRDefault="00B37543" w:rsidP="00B37543">
      <w:pPr>
        <w:spacing w:line="240" w:lineRule="auto"/>
        <w:jc w:val="center"/>
        <w:rPr>
          <w:rFonts w:eastAsia="Times New Roman" w:cs="Times New Roman"/>
          <w:sz w:val="22"/>
        </w:rPr>
      </w:pPr>
    </w:p>
    <w:p w14:paraId="799CD34E" w14:textId="30A4DD3D" w:rsidR="00695BE4" w:rsidRPr="002B428A" w:rsidRDefault="00695BE4" w:rsidP="002E0902">
      <w:pPr>
        <w:spacing w:line="240" w:lineRule="auto"/>
        <w:rPr>
          <w:rFonts w:eastAsia="Times New Roman" w:cs="Times New Roman"/>
          <w:sz w:val="22"/>
        </w:rPr>
      </w:pPr>
      <w:r w:rsidRPr="002B428A">
        <w:rPr>
          <w:rFonts w:eastAsia="Times New Roman" w:cs="Times New Roman"/>
          <w:sz w:val="22"/>
        </w:rPr>
        <w:t xml:space="preserve">   </w:t>
      </w:r>
    </w:p>
    <w:p w14:paraId="218DD892" w14:textId="27EAB570" w:rsidR="00695BE4" w:rsidRDefault="00695BE4" w:rsidP="00B37543">
      <w:pPr>
        <w:spacing w:line="240" w:lineRule="auto"/>
        <w:jc w:val="center"/>
        <w:rPr>
          <w:rFonts w:eastAsia="Times New Roman" w:cs="Times New Roman"/>
          <w:b/>
          <w:bCs/>
          <w:sz w:val="22"/>
          <w:szCs w:val="20"/>
        </w:rPr>
      </w:pPr>
      <w:r w:rsidRPr="002B428A">
        <w:rPr>
          <w:rFonts w:eastAsia="Times New Roman" w:cs="Times New Roman"/>
          <w:b/>
          <w:bCs/>
          <w:sz w:val="22"/>
          <w:szCs w:val="20"/>
        </w:rPr>
        <w:t>Cómo citar este artículo:</w:t>
      </w:r>
    </w:p>
    <w:p w14:paraId="4D3AE4CE" w14:textId="138D26AB" w:rsidR="00CB5868" w:rsidRPr="002B428A" w:rsidRDefault="000C57CD" w:rsidP="00B37543">
      <w:pPr>
        <w:spacing w:line="240" w:lineRule="auto"/>
        <w:jc w:val="center"/>
        <w:rPr>
          <w:rFonts w:eastAsia="Times New Roman" w:cs="Times New Roman"/>
          <w:b/>
          <w:bCs/>
          <w:sz w:val="22"/>
          <w:szCs w:val="20"/>
        </w:rPr>
      </w:pPr>
      <w:r w:rsidRPr="000C57CD">
        <w:rPr>
          <w:rFonts w:ascii="Noto Serif" w:eastAsia="Times New Roman" w:hAnsi="Noto Serif" w:cs="Noto Serif"/>
          <w:sz w:val="20"/>
          <w:szCs w:val="20"/>
          <w:lang w:eastAsia="es-ES"/>
        </w:rPr>
        <w:t>Chiliquinga Cando, J. P., Calapucha Vargas, J. V., Aviles Quiñonez, W. P., &amp; Gonzalez Capote, D. (2026). El impacto del cumplimiento normativo en procesos de contratación de obras del Gobierno Autónomo Descentralizado Municipal de Archidona 2021. </w:t>
      </w:r>
      <w:r w:rsidRPr="000C57CD">
        <w:rPr>
          <w:rFonts w:ascii="Noto Serif" w:eastAsia="Times New Roman" w:hAnsi="Noto Serif" w:cs="Noto Serif"/>
          <w:i/>
          <w:iCs/>
          <w:sz w:val="20"/>
          <w:szCs w:val="20"/>
          <w:lang w:eastAsia="es-ES"/>
        </w:rPr>
        <w:t>Sage Sphere Multidisciplinary Studies</w:t>
      </w:r>
      <w:r w:rsidRPr="000C57CD">
        <w:rPr>
          <w:rFonts w:ascii="Noto Serif" w:eastAsia="Times New Roman" w:hAnsi="Noto Serif" w:cs="Noto Serif"/>
          <w:sz w:val="20"/>
          <w:szCs w:val="20"/>
          <w:lang w:eastAsia="es-ES"/>
        </w:rPr>
        <w:t>, </w:t>
      </w:r>
      <w:r w:rsidRPr="000C57CD">
        <w:rPr>
          <w:rFonts w:ascii="Noto Serif" w:eastAsia="Times New Roman" w:hAnsi="Noto Serif" w:cs="Noto Serif"/>
          <w:i/>
          <w:iCs/>
          <w:sz w:val="20"/>
          <w:szCs w:val="20"/>
          <w:lang w:eastAsia="es-ES"/>
        </w:rPr>
        <w:t>3</w:t>
      </w:r>
      <w:r w:rsidRPr="000C57CD">
        <w:rPr>
          <w:rFonts w:ascii="Noto Serif" w:eastAsia="Times New Roman" w:hAnsi="Noto Serif" w:cs="Noto Serif"/>
          <w:sz w:val="20"/>
          <w:szCs w:val="20"/>
          <w:lang w:eastAsia="es-ES"/>
        </w:rPr>
        <w:t>(1), 1-22. </w:t>
      </w:r>
      <w:hyperlink r:id="rId19" w:history="1">
        <w:r w:rsidRPr="000C57CD">
          <w:rPr>
            <w:rFonts w:ascii="Noto Serif" w:eastAsia="Times New Roman" w:hAnsi="Noto Serif" w:cs="Noto Serif"/>
            <w:color w:val="4B7D92"/>
            <w:sz w:val="20"/>
            <w:szCs w:val="20"/>
            <w:u w:val="single"/>
            <w:lang w:eastAsia="es-ES"/>
          </w:rPr>
          <w:t>https://doi.org/10.63688/afxytw28</w:t>
        </w:r>
      </w:hyperlink>
    </w:p>
    <w:p w14:paraId="223F9344" w14:textId="7E650698" w:rsidR="00695CE7" w:rsidRPr="002B428A" w:rsidRDefault="00695BE4" w:rsidP="00B37543">
      <w:pPr>
        <w:spacing w:line="240" w:lineRule="auto"/>
        <w:rPr>
          <w:rFonts w:eastAsia="Times New Roman" w:cs="Times New Roman"/>
          <w:sz w:val="22"/>
        </w:rPr>
      </w:pPr>
      <w:r w:rsidRPr="002B428A">
        <w:rPr>
          <w:rFonts w:eastAsia="Times New Roman" w:cs="Times New Roman"/>
          <w:sz w:val="22"/>
        </w:rPr>
        <w:t xml:space="preserve">                  </w:t>
      </w:r>
    </w:p>
    <w:p w14:paraId="439BD914" w14:textId="77777777" w:rsidR="00B37543" w:rsidRPr="002B428A" w:rsidRDefault="00B37543" w:rsidP="00B37543">
      <w:pPr>
        <w:spacing w:line="240" w:lineRule="auto"/>
        <w:rPr>
          <w:rFonts w:eastAsia="Times New Roman" w:cs="Times New Roman"/>
          <w:sz w:val="22"/>
        </w:rPr>
      </w:pPr>
    </w:p>
    <w:p w14:paraId="52B854B7" w14:textId="77777777" w:rsidR="00B37543" w:rsidRPr="002B428A" w:rsidRDefault="00B37543" w:rsidP="00B37543">
      <w:pPr>
        <w:spacing w:line="240" w:lineRule="auto"/>
        <w:rPr>
          <w:rFonts w:eastAsia="Times New Roman" w:cs="Times New Roman"/>
          <w:sz w:val="22"/>
        </w:rPr>
      </w:pPr>
    </w:p>
    <w:p w14:paraId="2B493605" w14:textId="77777777" w:rsidR="00B37543" w:rsidRPr="002B428A" w:rsidRDefault="00B37543" w:rsidP="00B37543">
      <w:pPr>
        <w:spacing w:line="240" w:lineRule="auto"/>
        <w:rPr>
          <w:rFonts w:eastAsia="Times New Roman" w:cs="Times New Roman"/>
          <w:sz w:val="22"/>
        </w:rPr>
      </w:pPr>
    </w:p>
    <w:p w14:paraId="42B0CD0C" w14:textId="77777777" w:rsidR="00B37543" w:rsidRPr="002B428A" w:rsidRDefault="00B37543" w:rsidP="00B37543">
      <w:pPr>
        <w:spacing w:line="240" w:lineRule="auto"/>
        <w:rPr>
          <w:rFonts w:eastAsia="Times New Roman" w:cs="Times New Roman"/>
          <w:sz w:val="22"/>
        </w:rPr>
      </w:pPr>
    </w:p>
    <w:p w14:paraId="509CE4C6" w14:textId="77777777" w:rsidR="00B37543" w:rsidRPr="002B428A" w:rsidRDefault="00B37543" w:rsidP="00B37543">
      <w:pPr>
        <w:spacing w:line="240" w:lineRule="auto"/>
        <w:rPr>
          <w:rFonts w:eastAsia="Times New Roman" w:cs="Times New Roman"/>
          <w:sz w:val="22"/>
        </w:rPr>
      </w:pPr>
    </w:p>
    <w:p w14:paraId="055386F1" w14:textId="77777777" w:rsidR="00B37543" w:rsidRPr="002B428A" w:rsidRDefault="00B37543" w:rsidP="00B37543">
      <w:pPr>
        <w:spacing w:line="240" w:lineRule="auto"/>
        <w:rPr>
          <w:rFonts w:eastAsia="Times New Roman" w:cs="Times New Roman"/>
          <w:sz w:val="22"/>
        </w:rPr>
      </w:pPr>
    </w:p>
    <w:p w14:paraId="0AEDBCC4" w14:textId="77777777" w:rsidR="00B37543" w:rsidRPr="002B428A" w:rsidRDefault="00B37543" w:rsidP="00B37543">
      <w:pPr>
        <w:spacing w:line="240" w:lineRule="auto"/>
        <w:rPr>
          <w:rFonts w:eastAsia="Times New Roman" w:cs="Times New Roman"/>
          <w:sz w:val="22"/>
        </w:rPr>
      </w:pPr>
    </w:p>
    <w:p w14:paraId="13D2536C" w14:textId="77777777" w:rsidR="00B37543" w:rsidRPr="002B428A" w:rsidRDefault="00B37543" w:rsidP="00B37543">
      <w:pPr>
        <w:spacing w:line="240" w:lineRule="auto"/>
        <w:rPr>
          <w:rFonts w:eastAsia="Times New Roman" w:cs="Times New Roman"/>
          <w:sz w:val="22"/>
        </w:rPr>
      </w:pPr>
    </w:p>
    <w:p w14:paraId="030F579F" w14:textId="77777777" w:rsidR="00B37543" w:rsidRPr="002B428A" w:rsidRDefault="00B37543" w:rsidP="00B37543">
      <w:pPr>
        <w:spacing w:line="240" w:lineRule="auto"/>
        <w:rPr>
          <w:rFonts w:eastAsia="Times New Roman" w:cs="Times New Roman"/>
          <w:sz w:val="22"/>
        </w:rPr>
      </w:pPr>
    </w:p>
    <w:p w14:paraId="04E52446" w14:textId="77777777" w:rsidR="00B37543" w:rsidRPr="002B428A" w:rsidRDefault="00B37543" w:rsidP="00B37543">
      <w:pPr>
        <w:spacing w:line="240" w:lineRule="auto"/>
        <w:rPr>
          <w:rFonts w:eastAsia="Times New Roman" w:cs="Times New Roman"/>
          <w:sz w:val="22"/>
        </w:rPr>
      </w:pPr>
    </w:p>
    <w:p w14:paraId="40B566EC" w14:textId="77777777" w:rsidR="00B37543" w:rsidRPr="002B428A" w:rsidRDefault="00B37543" w:rsidP="00B37543">
      <w:pPr>
        <w:spacing w:line="240" w:lineRule="auto"/>
        <w:rPr>
          <w:rFonts w:eastAsia="Times New Roman" w:cs="Times New Roman"/>
          <w:sz w:val="22"/>
        </w:rPr>
      </w:pPr>
    </w:p>
    <w:p w14:paraId="78D6A6B5" w14:textId="77777777" w:rsidR="00B37543" w:rsidRPr="002B428A" w:rsidRDefault="00B37543" w:rsidP="00B37543">
      <w:pPr>
        <w:spacing w:line="240" w:lineRule="auto"/>
        <w:rPr>
          <w:rFonts w:eastAsia="Times New Roman" w:cs="Times New Roman"/>
          <w:sz w:val="22"/>
        </w:rPr>
      </w:pPr>
    </w:p>
    <w:p w14:paraId="711B3161" w14:textId="77777777" w:rsidR="00B37543" w:rsidRPr="002B428A" w:rsidRDefault="00B37543" w:rsidP="00B37543">
      <w:pPr>
        <w:spacing w:line="240" w:lineRule="auto"/>
        <w:rPr>
          <w:rFonts w:eastAsia="Times New Roman" w:cs="Times New Roman"/>
          <w:b/>
          <w:bCs/>
          <w:sz w:val="22"/>
        </w:rPr>
      </w:pPr>
    </w:p>
    <w:p w14:paraId="59B03EB4" w14:textId="77777777" w:rsidR="001C2045" w:rsidRPr="002B428A" w:rsidRDefault="001C2045" w:rsidP="00B37543">
      <w:pPr>
        <w:spacing w:line="240" w:lineRule="auto"/>
        <w:jc w:val="both"/>
        <w:rPr>
          <w:rFonts w:eastAsia="Times New Roman" w:cs="Times New Roman"/>
          <w:sz w:val="22"/>
        </w:rPr>
      </w:pPr>
      <w:r w:rsidRPr="002B428A">
        <w:rPr>
          <w:rFonts w:eastAsia="Times New Roman" w:cs="Times New Roman"/>
          <w:sz w:val="22"/>
        </w:rPr>
        <w:t>© 2026; Los autores. Este es un artículo en acceso abierto, distribuido bajo los términos de una licencia Creative Commons (</w:t>
      </w:r>
      <w:r>
        <w:fldChar w:fldCharType="begin"/>
      </w:r>
      <w:r>
        <w:instrText>HYPERLINK "https://creativecommons.org/licenses/by/4.0" \t "_new"</w:instrText>
      </w:r>
      <w:r>
        <w:fldChar w:fldCharType="separate"/>
      </w:r>
      <w:r w:rsidRPr="002B428A">
        <w:rPr>
          <w:rStyle w:val="Hipervnculo"/>
          <w:rFonts w:eastAsia="Times New Roman" w:cs="Times New Roman"/>
          <w:sz w:val="22"/>
        </w:rPr>
        <w:t>https://creativecommons.org/licenses/by/4.0</w:t>
      </w:r>
      <w:r>
        <w:fldChar w:fldCharType="end"/>
      </w:r>
      <w:r w:rsidRPr="002B428A">
        <w:rPr>
          <w:rFonts w:eastAsia="Times New Roman" w:cs="Times New Roman"/>
          <w:sz w:val="22"/>
        </w:rPr>
        <w:t>) que permite el uso, distribución y reproducción en cualquier medio, siempre que la obra original sea correctamente citada.</w:t>
      </w:r>
    </w:p>
    <w:p w14:paraId="219494D2" w14:textId="77777777" w:rsidR="00B37543" w:rsidRPr="002B428A" w:rsidRDefault="00B37543" w:rsidP="00B37543">
      <w:pPr>
        <w:spacing w:line="240" w:lineRule="auto"/>
        <w:jc w:val="both"/>
        <w:rPr>
          <w:rFonts w:eastAsia="Times New Roman" w:cs="Times New Roman"/>
          <w:sz w:val="22"/>
        </w:rPr>
      </w:pPr>
    </w:p>
    <w:p w14:paraId="05F9878E" w14:textId="77777777" w:rsidR="00B37543" w:rsidRPr="002B428A" w:rsidRDefault="00B37543" w:rsidP="00B37543">
      <w:pPr>
        <w:spacing w:line="240" w:lineRule="auto"/>
        <w:jc w:val="both"/>
        <w:rPr>
          <w:rFonts w:eastAsia="Times New Roman" w:cs="Times New Roman"/>
          <w:sz w:val="22"/>
        </w:rPr>
      </w:pPr>
    </w:p>
    <w:p w14:paraId="26E8A6D6" w14:textId="77777777" w:rsidR="00B37543" w:rsidRPr="002B428A" w:rsidRDefault="00B37543" w:rsidP="00B37543">
      <w:pPr>
        <w:spacing w:line="240" w:lineRule="auto"/>
        <w:jc w:val="both"/>
        <w:rPr>
          <w:rFonts w:eastAsia="Times New Roman" w:cs="Times New Roman"/>
          <w:sz w:val="22"/>
        </w:rPr>
      </w:pPr>
    </w:p>
    <w:p w14:paraId="4BDA19F8" w14:textId="77777777" w:rsidR="00B37543" w:rsidRPr="002B428A" w:rsidRDefault="00B37543" w:rsidP="00B37543">
      <w:pPr>
        <w:spacing w:line="240" w:lineRule="auto"/>
        <w:jc w:val="both"/>
        <w:rPr>
          <w:rFonts w:eastAsia="Times New Roman" w:cs="Times New Roman"/>
          <w:sz w:val="22"/>
        </w:rPr>
      </w:pPr>
    </w:p>
    <w:p w14:paraId="21CB42A5" w14:textId="77777777" w:rsidR="00B37543" w:rsidRPr="002B428A" w:rsidRDefault="00B37543" w:rsidP="00B37543">
      <w:pPr>
        <w:spacing w:line="240" w:lineRule="auto"/>
        <w:jc w:val="both"/>
        <w:rPr>
          <w:rFonts w:eastAsia="Times New Roman" w:cs="Times New Roman"/>
          <w:sz w:val="22"/>
        </w:rPr>
      </w:pPr>
    </w:p>
    <w:p w14:paraId="608CB37E" w14:textId="77777777" w:rsidR="00B37543" w:rsidRPr="002B428A" w:rsidRDefault="00B37543" w:rsidP="00B37543">
      <w:pPr>
        <w:spacing w:line="240" w:lineRule="auto"/>
        <w:jc w:val="both"/>
        <w:rPr>
          <w:rFonts w:eastAsia="Times New Roman" w:cs="Times New Roman"/>
          <w:sz w:val="22"/>
        </w:rPr>
      </w:pPr>
    </w:p>
    <w:p w14:paraId="707F77E7" w14:textId="77777777" w:rsidR="00B37543" w:rsidRPr="002B428A" w:rsidRDefault="00B37543" w:rsidP="00B37543">
      <w:pPr>
        <w:spacing w:line="240" w:lineRule="auto"/>
        <w:jc w:val="both"/>
        <w:rPr>
          <w:rFonts w:eastAsia="Times New Roman" w:cs="Times New Roman"/>
          <w:sz w:val="22"/>
        </w:rPr>
      </w:pPr>
    </w:p>
    <w:p w14:paraId="4403948B" w14:textId="77777777" w:rsidR="00B37543" w:rsidRPr="002B428A" w:rsidRDefault="00B37543" w:rsidP="00B37543">
      <w:pPr>
        <w:spacing w:line="240" w:lineRule="auto"/>
        <w:jc w:val="both"/>
        <w:rPr>
          <w:rFonts w:eastAsia="Times New Roman" w:cs="Times New Roman"/>
          <w:sz w:val="22"/>
        </w:rPr>
      </w:pPr>
    </w:p>
    <w:p w14:paraId="6EBB6DB6" w14:textId="77777777" w:rsidR="00B37543" w:rsidRPr="002B428A" w:rsidRDefault="00B37543" w:rsidP="00B37543">
      <w:pPr>
        <w:spacing w:line="240" w:lineRule="auto"/>
        <w:jc w:val="both"/>
        <w:rPr>
          <w:rFonts w:eastAsia="Times New Roman" w:cs="Times New Roman"/>
          <w:sz w:val="22"/>
        </w:rPr>
      </w:pPr>
    </w:p>
    <w:p w14:paraId="15085267" w14:textId="77777777" w:rsidR="00B37543" w:rsidRPr="002B428A" w:rsidRDefault="00B37543" w:rsidP="00B37543">
      <w:pPr>
        <w:spacing w:line="240" w:lineRule="auto"/>
        <w:jc w:val="both"/>
        <w:rPr>
          <w:rFonts w:eastAsia="Times New Roman" w:cs="Times New Roman"/>
          <w:sz w:val="22"/>
        </w:rPr>
      </w:pPr>
    </w:p>
    <w:p w14:paraId="764C8CF5" w14:textId="77777777" w:rsidR="00B37543" w:rsidRPr="002B428A" w:rsidRDefault="00B37543" w:rsidP="00B37543">
      <w:pPr>
        <w:spacing w:line="240" w:lineRule="auto"/>
        <w:jc w:val="both"/>
        <w:rPr>
          <w:rFonts w:eastAsia="Times New Roman" w:cs="Times New Roman"/>
          <w:sz w:val="22"/>
        </w:rPr>
      </w:pPr>
    </w:p>
    <w:p w14:paraId="35097DEB" w14:textId="77777777" w:rsidR="00B37543" w:rsidRPr="002B428A" w:rsidRDefault="00B37543" w:rsidP="00B37543">
      <w:pPr>
        <w:spacing w:line="240" w:lineRule="auto"/>
        <w:jc w:val="both"/>
        <w:rPr>
          <w:rFonts w:eastAsia="Times New Roman" w:cs="Times New Roman"/>
          <w:sz w:val="22"/>
        </w:rPr>
      </w:pPr>
    </w:p>
    <w:p w14:paraId="05298E2D" w14:textId="77777777" w:rsidR="00B37543" w:rsidRPr="002B428A" w:rsidRDefault="00B37543" w:rsidP="00B37543">
      <w:pPr>
        <w:spacing w:line="240" w:lineRule="auto"/>
        <w:jc w:val="both"/>
        <w:rPr>
          <w:rFonts w:eastAsia="Times New Roman" w:cs="Times New Roman"/>
          <w:sz w:val="22"/>
        </w:rPr>
      </w:pPr>
    </w:p>
    <w:p w14:paraId="65A1EE0C" w14:textId="77777777" w:rsidR="00B37543" w:rsidRDefault="00B37543" w:rsidP="00B37543">
      <w:pPr>
        <w:spacing w:line="240" w:lineRule="auto"/>
        <w:jc w:val="both"/>
        <w:rPr>
          <w:rFonts w:eastAsia="Times New Roman" w:cs="Times New Roman"/>
          <w:sz w:val="22"/>
        </w:rPr>
      </w:pPr>
    </w:p>
    <w:p w14:paraId="79BE0F0D" w14:textId="77777777" w:rsidR="000C57CD" w:rsidRPr="002B428A" w:rsidRDefault="000C57CD" w:rsidP="00B37543">
      <w:pPr>
        <w:spacing w:line="240" w:lineRule="auto"/>
        <w:jc w:val="both"/>
        <w:rPr>
          <w:rFonts w:eastAsia="Times New Roman" w:cs="Times New Roman"/>
          <w:sz w:val="22"/>
        </w:rPr>
      </w:pPr>
    </w:p>
    <w:p w14:paraId="0A069E1F" w14:textId="77777777" w:rsidR="00B37543" w:rsidRPr="002B428A" w:rsidRDefault="00B37543" w:rsidP="00B37543">
      <w:pPr>
        <w:spacing w:line="240" w:lineRule="auto"/>
        <w:jc w:val="both"/>
        <w:rPr>
          <w:rFonts w:eastAsia="Times New Roman" w:cs="Times New Roman"/>
          <w:sz w:val="22"/>
        </w:rPr>
      </w:pPr>
    </w:p>
    <w:p w14:paraId="2778092B" w14:textId="77777777" w:rsidR="00B37543" w:rsidRPr="002B428A" w:rsidRDefault="00B37543" w:rsidP="00B37543">
      <w:pPr>
        <w:spacing w:line="240" w:lineRule="auto"/>
        <w:jc w:val="both"/>
        <w:rPr>
          <w:rFonts w:eastAsia="Times New Roman" w:cs="Times New Roman"/>
          <w:sz w:val="22"/>
        </w:rPr>
      </w:pPr>
    </w:p>
    <w:p w14:paraId="21466F1E" w14:textId="77777777" w:rsidR="00B37543" w:rsidRPr="002B428A" w:rsidRDefault="00B37543" w:rsidP="00B37543">
      <w:pPr>
        <w:spacing w:line="240" w:lineRule="auto"/>
        <w:jc w:val="both"/>
        <w:rPr>
          <w:rFonts w:eastAsia="Times New Roman" w:cs="Times New Roman"/>
          <w:sz w:val="22"/>
        </w:rPr>
      </w:pPr>
    </w:p>
    <w:p w14:paraId="73A9B022" w14:textId="77777777" w:rsidR="00B37543" w:rsidRPr="002B428A" w:rsidRDefault="00B37543" w:rsidP="00B37543">
      <w:pPr>
        <w:spacing w:line="240" w:lineRule="auto"/>
        <w:jc w:val="both"/>
        <w:rPr>
          <w:rFonts w:eastAsia="Times New Roman" w:cs="Times New Roman"/>
          <w:sz w:val="22"/>
        </w:rPr>
      </w:pPr>
    </w:p>
    <w:p w14:paraId="05453A5F" w14:textId="77777777" w:rsidR="00B37543" w:rsidRPr="002B428A" w:rsidRDefault="00B37543" w:rsidP="00B37543">
      <w:pPr>
        <w:spacing w:line="240" w:lineRule="auto"/>
        <w:jc w:val="both"/>
        <w:rPr>
          <w:rFonts w:eastAsia="Times New Roman" w:cs="Times New Roman"/>
          <w:sz w:val="22"/>
        </w:rPr>
      </w:pPr>
    </w:p>
    <w:p w14:paraId="791DB305" w14:textId="77777777" w:rsidR="00B37543" w:rsidRPr="002B428A" w:rsidRDefault="00B37543" w:rsidP="00B37543">
      <w:pPr>
        <w:spacing w:line="240" w:lineRule="auto"/>
        <w:jc w:val="both"/>
        <w:rPr>
          <w:rFonts w:eastAsia="Times New Roman" w:cs="Times New Roman"/>
          <w:sz w:val="22"/>
        </w:rPr>
      </w:pPr>
    </w:p>
    <w:p w14:paraId="08646644" w14:textId="77777777" w:rsidR="00B37543" w:rsidRPr="002B428A" w:rsidRDefault="00B37543" w:rsidP="00B37543">
      <w:pPr>
        <w:spacing w:line="240" w:lineRule="auto"/>
        <w:jc w:val="both"/>
        <w:rPr>
          <w:rFonts w:eastAsia="Times New Roman" w:cs="Times New Roman"/>
          <w:sz w:val="22"/>
        </w:rPr>
      </w:pPr>
    </w:p>
    <w:p w14:paraId="268FD535" w14:textId="77777777" w:rsidR="00B37543" w:rsidRPr="002B428A" w:rsidRDefault="00B37543" w:rsidP="00B37543">
      <w:pPr>
        <w:spacing w:line="240" w:lineRule="auto"/>
        <w:jc w:val="both"/>
        <w:rPr>
          <w:rFonts w:eastAsia="Times New Roman" w:cs="Times New Roman"/>
          <w:sz w:val="22"/>
        </w:rPr>
      </w:pPr>
    </w:p>
    <w:p w14:paraId="69711729" w14:textId="77777777" w:rsidR="00B37543" w:rsidRPr="002B428A" w:rsidRDefault="00B37543" w:rsidP="00B37543">
      <w:pPr>
        <w:spacing w:line="240" w:lineRule="auto"/>
        <w:jc w:val="both"/>
        <w:rPr>
          <w:rFonts w:eastAsia="Times New Roman" w:cs="Times New Roman"/>
          <w:sz w:val="22"/>
        </w:rPr>
      </w:pPr>
    </w:p>
    <w:p w14:paraId="34276BDB" w14:textId="77777777" w:rsidR="00B37543" w:rsidRPr="002B428A" w:rsidRDefault="00B37543" w:rsidP="00B37543">
      <w:pPr>
        <w:spacing w:line="240" w:lineRule="auto"/>
        <w:jc w:val="both"/>
        <w:rPr>
          <w:rFonts w:eastAsia="Times New Roman" w:cs="Times New Roman"/>
          <w:sz w:val="22"/>
        </w:rPr>
      </w:pPr>
    </w:p>
    <w:p w14:paraId="247D176D" w14:textId="77777777" w:rsidR="00B37543" w:rsidRPr="002B428A" w:rsidRDefault="00B37543" w:rsidP="00B37543">
      <w:pPr>
        <w:spacing w:line="240" w:lineRule="auto"/>
        <w:jc w:val="both"/>
        <w:rPr>
          <w:rFonts w:eastAsia="Times New Roman" w:cs="Times New Roman"/>
          <w:sz w:val="22"/>
        </w:rPr>
      </w:pPr>
    </w:p>
    <w:p w14:paraId="15238D55" w14:textId="49ABCE4C" w:rsidR="00371129" w:rsidRPr="002B428A" w:rsidRDefault="00371129" w:rsidP="00B37543">
      <w:pPr>
        <w:tabs>
          <w:tab w:val="left" w:pos="3261"/>
          <w:tab w:val="left" w:pos="5790"/>
        </w:tabs>
        <w:spacing w:line="240" w:lineRule="auto"/>
        <w:jc w:val="center"/>
        <w:rPr>
          <w:rFonts w:eastAsia="Times New Roman" w:cs="Times New Roman"/>
          <w:b/>
          <w:bCs/>
          <w:szCs w:val="24"/>
        </w:rPr>
      </w:pPr>
      <w:r w:rsidRPr="002B428A">
        <w:rPr>
          <w:rFonts w:eastAsia="Times New Roman" w:cs="Times New Roman"/>
          <w:b/>
          <w:bCs/>
          <w:szCs w:val="24"/>
        </w:rPr>
        <w:t>RESUMEN</w:t>
      </w:r>
    </w:p>
    <w:p w14:paraId="3855DDE1" w14:textId="128D4C8D" w:rsidR="00DF1AF1" w:rsidRPr="002B428A" w:rsidRDefault="00DF1AF1" w:rsidP="00B37543">
      <w:pPr>
        <w:tabs>
          <w:tab w:val="left" w:pos="3261"/>
          <w:tab w:val="left" w:pos="5790"/>
        </w:tabs>
        <w:spacing w:line="240" w:lineRule="auto"/>
        <w:jc w:val="both"/>
        <w:rPr>
          <w:rFonts w:eastAsia="Times New Roman" w:cs="Times New Roman"/>
          <w:sz w:val="22"/>
        </w:rPr>
      </w:pPr>
      <w:r w:rsidRPr="002B428A">
        <w:rPr>
          <w:rFonts w:eastAsia="Times New Roman" w:cs="Times New Roman"/>
          <w:sz w:val="22"/>
        </w:rPr>
        <w:t xml:space="preserve">La presente investigación analiza el impacto del cumplimiento normativo en los procesos de contratación de obras públicas del Gobierno Autónomo Descentralizado Municipal de Archidona, considerando su importancia para garantizar la eficiencia, transparencia y correcta ejecución de los recursos públicos. El estudio se desarrolló bajo un enfoque cuantitativo, con un diseño no experimental de tipo descriptivo, se utilizó una base de datos institucional correspondiente al periodo 2021, la cual fue depurada mediante criterios de inclusión y exclusión, obteniéndose un total de </w:t>
      </w:r>
      <w:r w:rsidR="00311586" w:rsidRPr="002B428A">
        <w:rPr>
          <w:rFonts w:eastAsia="Times New Roman" w:cs="Times New Roman"/>
          <w:sz w:val="22"/>
        </w:rPr>
        <w:t>24</w:t>
      </w:r>
      <w:r w:rsidRPr="002B428A">
        <w:rPr>
          <w:rFonts w:eastAsia="Times New Roman" w:cs="Times New Roman"/>
          <w:sz w:val="22"/>
        </w:rPr>
        <w:t xml:space="preserve"> procesos válidos para su análisis. Los resultados evidencian una mayor concentración de procesos en estado </w:t>
      </w:r>
      <w:r w:rsidR="00311586" w:rsidRPr="002B428A">
        <w:rPr>
          <w:rFonts w:eastAsia="Times New Roman" w:cs="Times New Roman"/>
          <w:sz w:val="22"/>
        </w:rPr>
        <w:t>finalizado</w:t>
      </w:r>
      <w:r w:rsidRPr="002B428A">
        <w:rPr>
          <w:rFonts w:eastAsia="Times New Roman" w:cs="Times New Roman"/>
          <w:sz w:val="22"/>
        </w:rPr>
        <w:t>,</w:t>
      </w:r>
      <w:r w:rsidR="00311586" w:rsidRPr="002B428A">
        <w:rPr>
          <w:rFonts w:eastAsia="Times New Roman" w:cs="Times New Roman"/>
          <w:sz w:val="22"/>
        </w:rPr>
        <w:t xml:space="preserve"> sin embargo se refleja una dispersión en procesos de otros tipos, sin llegar ni a la mitad de procesos terminados</w:t>
      </w:r>
      <w:r w:rsidRPr="002B428A">
        <w:rPr>
          <w:rFonts w:eastAsia="Times New Roman" w:cs="Times New Roman"/>
          <w:sz w:val="22"/>
        </w:rPr>
        <w:t>. Esto refleja deficiencias en la planificación, elaboración de documentos y aplicación del control interno y se concluye que el cumplimiento normativo incide directamente en la eficiencia y transparencia de los procesos de contratación, siendo necesario fortalecer los mecanismos de control interno, la estandarización de procedimientos y la capacitación del personal para mejorar la gestión institucional.</w:t>
      </w:r>
    </w:p>
    <w:p w14:paraId="28676678" w14:textId="77777777" w:rsidR="00B37543" w:rsidRPr="002B428A" w:rsidRDefault="00B37543" w:rsidP="00B37543">
      <w:pPr>
        <w:tabs>
          <w:tab w:val="left" w:pos="3261"/>
          <w:tab w:val="left" w:pos="5790"/>
        </w:tabs>
        <w:spacing w:line="240" w:lineRule="auto"/>
        <w:jc w:val="both"/>
        <w:rPr>
          <w:rFonts w:eastAsia="Times New Roman" w:cs="Times New Roman"/>
          <w:sz w:val="22"/>
        </w:rPr>
      </w:pPr>
    </w:p>
    <w:p w14:paraId="203A6518" w14:textId="4D093D6E" w:rsidR="00695CE7" w:rsidRPr="002B428A" w:rsidRDefault="003D4D92" w:rsidP="00B37543">
      <w:pPr>
        <w:tabs>
          <w:tab w:val="left" w:pos="1860"/>
          <w:tab w:val="left" w:pos="5790"/>
        </w:tabs>
        <w:spacing w:line="240" w:lineRule="auto"/>
        <w:jc w:val="both"/>
        <w:rPr>
          <w:rFonts w:cs="Times New Roman"/>
          <w:sz w:val="22"/>
        </w:rPr>
      </w:pPr>
      <w:r w:rsidRPr="002B428A">
        <w:rPr>
          <w:rFonts w:cs="Times New Roman"/>
          <w:b/>
          <w:bCs/>
          <w:sz w:val="22"/>
        </w:rPr>
        <w:t>Palabras clave:</w:t>
      </w:r>
      <w:r w:rsidRPr="002B428A">
        <w:rPr>
          <w:rFonts w:cs="Times New Roman"/>
          <w:sz w:val="22"/>
        </w:rPr>
        <w:t xml:space="preserve"> </w:t>
      </w:r>
      <w:bookmarkStart w:id="1" w:name="_Hlk218592456"/>
      <w:r w:rsidR="00DF1AF1" w:rsidRPr="002B428A">
        <w:rPr>
          <w:rFonts w:cs="Times New Roman"/>
          <w:sz w:val="22"/>
        </w:rPr>
        <w:t>cumplimiento normativo, contratación pública, control interno, eficiencia, transparencia.</w:t>
      </w:r>
      <w:bookmarkEnd w:id="1"/>
    </w:p>
    <w:p w14:paraId="65D075DA" w14:textId="77777777" w:rsidR="00B37543" w:rsidRPr="002B428A" w:rsidRDefault="00B37543" w:rsidP="00B37543">
      <w:pPr>
        <w:tabs>
          <w:tab w:val="left" w:pos="1860"/>
          <w:tab w:val="left" w:pos="5790"/>
        </w:tabs>
        <w:spacing w:line="240" w:lineRule="auto"/>
        <w:jc w:val="both"/>
        <w:rPr>
          <w:rFonts w:cs="Times New Roman"/>
          <w:szCs w:val="24"/>
        </w:rPr>
      </w:pPr>
    </w:p>
    <w:p w14:paraId="3B4D6DCE" w14:textId="5C1BECFD" w:rsidR="003D4D92" w:rsidRPr="002B428A" w:rsidRDefault="003D4D92" w:rsidP="00B37543">
      <w:pPr>
        <w:tabs>
          <w:tab w:val="left" w:pos="3261"/>
          <w:tab w:val="left" w:pos="5790"/>
        </w:tabs>
        <w:spacing w:line="240" w:lineRule="auto"/>
        <w:jc w:val="center"/>
        <w:rPr>
          <w:rFonts w:eastAsia="Times New Roman" w:cs="Times New Roman"/>
          <w:b/>
          <w:bCs/>
          <w:szCs w:val="24"/>
          <w:lang w:val="en-GB"/>
        </w:rPr>
      </w:pPr>
      <w:r w:rsidRPr="002B428A">
        <w:rPr>
          <w:rFonts w:eastAsia="Times New Roman" w:cs="Times New Roman"/>
          <w:b/>
          <w:bCs/>
          <w:szCs w:val="24"/>
          <w:lang w:val="en-GB"/>
        </w:rPr>
        <w:t>ABSTRACT</w:t>
      </w:r>
    </w:p>
    <w:p w14:paraId="67C88737" w14:textId="77777777" w:rsidR="00311586" w:rsidRPr="002B428A" w:rsidRDefault="00311586" w:rsidP="00B37543">
      <w:pPr>
        <w:tabs>
          <w:tab w:val="left" w:pos="1985"/>
        </w:tabs>
        <w:spacing w:line="240" w:lineRule="auto"/>
        <w:jc w:val="both"/>
        <w:rPr>
          <w:rFonts w:cs="Times New Roman"/>
          <w:sz w:val="22"/>
          <w:lang w:val="en"/>
        </w:rPr>
      </w:pPr>
      <w:r w:rsidRPr="002B428A">
        <w:rPr>
          <w:rFonts w:cs="Times New Roman"/>
          <w:sz w:val="22"/>
          <w:lang w:val="en"/>
        </w:rPr>
        <w:t xml:space="preserve">This research analyzes the impact of regulatory compliance on public works procurement processes at the Decentralized Autonomous Municipal Government of </w:t>
      </w:r>
      <w:proofErr w:type="spellStart"/>
      <w:r w:rsidRPr="002B428A">
        <w:rPr>
          <w:rFonts w:cs="Times New Roman"/>
          <w:sz w:val="22"/>
          <w:lang w:val="en"/>
        </w:rPr>
        <w:t>Archidona</w:t>
      </w:r>
      <w:proofErr w:type="spellEnd"/>
      <w:r w:rsidRPr="002B428A">
        <w:rPr>
          <w:rFonts w:cs="Times New Roman"/>
          <w:sz w:val="22"/>
          <w:lang w:val="en"/>
        </w:rPr>
        <w:t>, considering its importance in ensuring efficiency, transparency, and the proper use of public resources. The study employed a quantitative approach with a descriptive, non-experimental design. An institutional database from 2021 was used, which was refined using inclusion and exclusion criteria, resulting in a total of 24 valid processes for analysis. The results show a higher concentration of completed processes; however, other types of processes are also present, with less than half of them being completed. This reflects deficiencies in planning, document preparation, and the application of internal controls. The study concludes that regulatory compliance directly impacts the efficiency and transparency of procurement processes, making it necessary to strengthen internal control mechanisms, standardize procedures, and train staff to improve institutional management.</w:t>
      </w:r>
    </w:p>
    <w:p w14:paraId="2F63CDEA" w14:textId="77777777" w:rsidR="00B37543" w:rsidRPr="002B428A" w:rsidRDefault="00B37543" w:rsidP="00B37543">
      <w:pPr>
        <w:tabs>
          <w:tab w:val="left" w:pos="1985"/>
        </w:tabs>
        <w:spacing w:line="240" w:lineRule="auto"/>
        <w:jc w:val="both"/>
        <w:rPr>
          <w:rFonts w:cs="Times New Roman"/>
          <w:sz w:val="22"/>
          <w:lang w:val="en-GB"/>
        </w:rPr>
      </w:pPr>
    </w:p>
    <w:p w14:paraId="2106EA58" w14:textId="0FA1A6FF" w:rsidR="006B1F91" w:rsidRPr="002B428A" w:rsidRDefault="003D4D92" w:rsidP="00B37543">
      <w:pPr>
        <w:tabs>
          <w:tab w:val="left" w:pos="1985"/>
        </w:tabs>
        <w:spacing w:line="240" w:lineRule="auto"/>
        <w:jc w:val="both"/>
        <w:rPr>
          <w:rFonts w:cs="Times New Roman"/>
          <w:sz w:val="22"/>
          <w:lang w:val="en-GB"/>
        </w:rPr>
      </w:pPr>
      <w:r w:rsidRPr="002B428A">
        <w:rPr>
          <w:rFonts w:cs="Times New Roman"/>
          <w:b/>
          <w:bCs/>
          <w:sz w:val="22"/>
          <w:lang w:val="en-GB"/>
        </w:rPr>
        <w:t>Keywords:</w:t>
      </w:r>
      <w:r w:rsidR="00B3736F" w:rsidRPr="002B428A">
        <w:rPr>
          <w:rFonts w:cs="Times New Roman"/>
          <w:b/>
          <w:bCs/>
          <w:sz w:val="22"/>
          <w:lang w:val="en-GB"/>
        </w:rPr>
        <w:t xml:space="preserve"> </w:t>
      </w:r>
      <w:r w:rsidR="00DF1AF1" w:rsidRPr="002B428A">
        <w:rPr>
          <w:rFonts w:cs="Times New Roman"/>
          <w:sz w:val="22"/>
          <w:lang w:val="en"/>
        </w:rPr>
        <w:t>regulatory compliance, public procurement, internal control, efficiency, transparency</w:t>
      </w:r>
      <w:r w:rsidR="00DF1AF1" w:rsidRPr="002B428A">
        <w:rPr>
          <w:rFonts w:cs="Times New Roman"/>
          <w:sz w:val="22"/>
          <w:lang w:val="en-GB"/>
        </w:rPr>
        <w:t>.</w:t>
      </w:r>
    </w:p>
    <w:p w14:paraId="7A19B0AC" w14:textId="2158F9D4" w:rsidR="00B3736F" w:rsidRPr="002B428A" w:rsidRDefault="00B3736F">
      <w:pPr>
        <w:tabs>
          <w:tab w:val="left" w:pos="1985"/>
        </w:tabs>
        <w:jc w:val="both"/>
        <w:rPr>
          <w:rFonts w:cs="Times New Roman"/>
          <w:lang w:val="en-GB"/>
        </w:rPr>
      </w:pPr>
    </w:p>
    <w:p w14:paraId="6EFACE05" w14:textId="77777777" w:rsidR="00B37543" w:rsidRPr="002B428A" w:rsidRDefault="00B37543">
      <w:pPr>
        <w:tabs>
          <w:tab w:val="left" w:pos="1985"/>
        </w:tabs>
        <w:jc w:val="both"/>
        <w:rPr>
          <w:rFonts w:cs="Times New Roman"/>
          <w:lang w:val="en-GB"/>
        </w:rPr>
      </w:pPr>
    </w:p>
    <w:p w14:paraId="75357619" w14:textId="77777777" w:rsidR="00B37543" w:rsidRPr="002B428A" w:rsidRDefault="00B37543">
      <w:pPr>
        <w:tabs>
          <w:tab w:val="left" w:pos="1985"/>
        </w:tabs>
        <w:jc w:val="both"/>
        <w:rPr>
          <w:rFonts w:cs="Times New Roman"/>
          <w:lang w:val="en-GB"/>
        </w:rPr>
      </w:pPr>
    </w:p>
    <w:p w14:paraId="76AA1F29" w14:textId="77777777" w:rsidR="00B37543" w:rsidRPr="002B428A" w:rsidRDefault="00B37543">
      <w:pPr>
        <w:tabs>
          <w:tab w:val="left" w:pos="1985"/>
        </w:tabs>
        <w:jc w:val="both"/>
        <w:rPr>
          <w:rFonts w:cs="Times New Roman"/>
          <w:lang w:val="en-GB"/>
        </w:rPr>
      </w:pPr>
    </w:p>
    <w:p w14:paraId="2DF57909" w14:textId="77777777" w:rsidR="00B37543" w:rsidRPr="002B428A" w:rsidRDefault="00B37543">
      <w:pPr>
        <w:tabs>
          <w:tab w:val="left" w:pos="1985"/>
        </w:tabs>
        <w:jc w:val="both"/>
        <w:rPr>
          <w:rFonts w:cs="Times New Roman"/>
          <w:lang w:val="en-GB"/>
        </w:rPr>
      </w:pPr>
    </w:p>
    <w:p w14:paraId="1EC32F8A" w14:textId="77777777" w:rsidR="00B37543" w:rsidRPr="002B428A" w:rsidRDefault="00B37543">
      <w:pPr>
        <w:tabs>
          <w:tab w:val="left" w:pos="1985"/>
        </w:tabs>
        <w:jc w:val="both"/>
        <w:rPr>
          <w:rFonts w:cs="Times New Roman"/>
          <w:lang w:val="en-GB"/>
        </w:rPr>
      </w:pPr>
    </w:p>
    <w:p w14:paraId="40466C2F" w14:textId="77777777" w:rsidR="00B37543" w:rsidRPr="002B428A" w:rsidRDefault="00B37543">
      <w:pPr>
        <w:tabs>
          <w:tab w:val="left" w:pos="1985"/>
        </w:tabs>
        <w:jc w:val="both"/>
        <w:rPr>
          <w:rFonts w:cs="Times New Roman"/>
          <w:lang w:val="en-GB"/>
        </w:rPr>
      </w:pPr>
    </w:p>
    <w:p w14:paraId="6E1A84BF" w14:textId="77777777" w:rsidR="00B37543" w:rsidRPr="002B428A" w:rsidRDefault="00B37543">
      <w:pPr>
        <w:tabs>
          <w:tab w:val="left" w:pos="1985"/>
        </w:tabs>
        <w:jc w:val="both"/>
        <w:rPr>
          <w:rFonts w:cs="Times New Roman"/>
          <w:lang w:val="en-GB"/>
        </w:rPr>
      </w:pPr>
    </w:p>
    <w:p w14:paraId="2772AD01" w14:textId="77777777" w:rsidR="00B37543" w:rsidRPr="002B428A" w:rsidRDefault="00B37543">
      <w:pPr>
        <w:tabs>
          <w:tab w:val="left" w:pos="1985"/>
        </w:tabs>
        <w:jc w:val="both"/>
        <w:rPr>
          <w:rFonts w:cs="Times New Roman"/>
          <w:lang w:val="en-GB"/>
        </w:rPr>
      </w:pPr>
    </w:p>
    <w:p w14:paraId="0E718107" w14:textId="77777777" w:rsidR="00B37543" w:rsidRPr="002B428A" w:rsidRDefault="00B37543">
      <w:pPr>
        <w:tabs>
          <w:tab w:val="left" w:pos="1985"/>
        </w:tabs>
        <w:jc w:val="both"/>
        <w:rPr>
          <w:rFonts w:cs="Times New Roman"/>
          <w:lang w:val="en-GB"/>
        </w:rPr>
      </w:pPr>
    </w:p>
    <w:p w14:paraId="5E48FF12" w14:textId="77777777" w:rsidR="00B37543" w:rsidRPr="002B428A" w:rsidRDefault="00B37543">
      <w:pPr>
        <w:tabs>
          <w:tab w:val="left" w:pos="1985"/>
        </w:tabs>
        <w:jc w:val="both"/>
        <w:rPr>
          <w:rFonts w:cs="Times New Roman"/>
          <w:lang w:val="en-GB"/>
        </w:rPr>
      </w:pPr>
    </w:p>
    <w:p w14:paraId="17C4CE1B" w14:textId="77777777" w:rsidR="003D4D92" w:rsidRPr="002B428A" w:rsidRDefault="003D4D92" w:rsidP="00DB4E8E">
      <w:pPr>
        <w:jc w:val="both"/>
        <w:rPr>
          <w:rFonts w:cs="Times New Roman"/>
          <w:b/>
          <w:sz w:val="28"/>
          <w:szCs w:val="28"/>
        </w:rPr>
      </w:pPr>
      <w:r w:rsidRPr="002B428A">
        <w:rPr>
          <w:rFonts w:cs="Times New Roman"/>
          <w:b/>
          <w:sz w:val="28"/>
          <w:szCs w:val="28"/>
        </w:rPr>
        <w:t>1. INTRODUCCIÓN</w:t>
      </w:r>
    </w:p>
    <w:p w14:paraId="5567C782" w14:textId="77777777" w:rsidR="009A20A4" w:rsidRPr="002B428A" w:rsidRDefault="009A20A4" w:rsidP="00DB4E8E">
      <w:pPr>
        <w:pStyle w:val="Sangradetextonormal"/>
        <w:spacing w:after="0"/>
        <w:ind w:left="0"/>
        <w:jc w:val="both"/>
        <w:rPr>
          <w:rFonts w:cs="Times New Roman"/>
          <w:lang w:val="es-419"/>
        </w:rPr>
      </w:pPr>
      <w:r w:rsidRPr="002B428A">
        <w:rPr>
          <w:rFonts w:cs="Times New Roman"/>
          <w:lang w:val="es-419"/>
        </w:rPr>
        <w:t xml:space="preserve">La Ley de Contratación Pública tiene sus orígenes en el año 1863, en donde mediante Decreto Ejecutivo se crea la Ley de la Hacienda </w:t>
      </w:r>
      <w:sdt>
        <w:sdtPr>
          <w:rPr>
            <w:rFonts w:cs="Times New Roman"/>
            <w:lang w:val="es-419"/>
          </w:rPr>
          <w:id w:val="-111831601"/>
          <w:citation/>
        </w:sdtPr>
        <w:sdtEndPr/>
        <w:sdtContent>
          <w:r w:rsidRPr="002B428A">
            <w:rPr>
              <w:rFonts w:cs="Times New Roman"/>
              <w:lang w:val="es-419"/>
            </w:rPr>
            <w:fldChar w:fldCharType="begin"/>
          </w:r>
          <w:r w:rsidRPr="002B428A">
            <w:rPr>
              <w:rFonts w:cs="Times New Roman"/>
              <w:lang w:val="es-MX"/>
            </w:rPr>
            <w:instrText xml:space="preserve"> CITATION Sup15 \l 2058 </w:instrText>
          </w:r>
          <w:r w:rsidRPr="002B428A">
            <w:rPr>
              <w:rFonts w:cs="Times New Roman"/>
              <w:lang w:val="es-419"/>
            </w:rPr>
            <w:fldChar w:fldCharType="separate"/>
          </w:r>
          <w:r w:rsidRPr="002B428A">
            <w:rPr>
              <w:rFonts w:cs="Times New Roman"/>
              <w:noProof/>
              <w:lang w:val="es-MX"/>
            </w:rPr>
            <w:t>(Superintendencia de Control del Poder de Mercado, 2015)</w:t>
          </w:r>
          <w:r w:rsidRPr="002B428A">
            <w:rPr>
              <w:rFonts w:cs="Times New Roman"/>
              <w:lang w:val="es-419"/>
            </w:rPr>
            <w:fldChar w:fldCharType="end"/>
          </w:r>
        </w:sdtContent>
      </w:sdt>
      <w:r w:rsidRPr="002B428A">
        <w:rPr>
          <w:rFonts w:cs="Times New Roman"/>
          <w:lang w:val="es-419"/>
        </w:rPr>
        <w:t xml:space="preserve">. Posteriormente, según la Contraloría General del Estado </w:t>
      </w:r>
      <w:sdt>
        <w:sdtPr>
          <w:rPr>
            <w:rFonts w:cs="Times New Roman"/>
            <w:lang w:val="es-419"/>
          </w:rPr>
          <w:id w:val="206460926"/>
          <w:citation/>
        </w:sdtPr>
        <w:sdtEndPr/>
        <w:sdtContent>
          <w:r w:rsidRPr="002B428A">
            <w:rPr>
              <w:rFonts w:cs="Times New Roman"/>
              <w:lang w:val="es-419"/>
            </w:rPr>
            <w:fldChar w:fldCharType="begin"/>
          </w:r>
          <w:r w:rsidRPr="002B428A">
            <w:rPr>
              <w:rFonts w:cs="Times New Roman"/>
              <w:lang w:val="es-MX"/>
            </w:rPr>
            <w:instrText xml:space="preserve">CITATION Con25 \n  \t  \l 2058 </w:instrText>
          </w:r>
          <w:r w:rsidRPr="002B428A">
            <w:rPr>
              <w:rFonts w:cs="Times New Roman"/>
              <w:lang w:val="es-419"/>
            </w:rPr>
            <w:fldChar w:fldCharType="separate"/>
          </w:r>
          <w:r w:rsidRPr="002B428A">
            <w:rPr>
              <w:rFonts w:cs="Times New Roman"/>
              <w:noProof/>
              <w:lang w:val="es-MX"/>
            </w:rPr>
            <w:t>(2025)</w:t>
          </w:r>
          <w:r w:rsidRPr="002B428A">
            <w:rPr>
              <w:rFonts w:cs="Times New Roman"/>
              <w:lang w:val="es-419"/>
            </w:rPr>
            <w:fldChar w:fldCharType="end"/>
          </w:r>
        </w:sdtContent>
      </w:sdt>
      <w:r w:rsidRPr="002B428A">
        <w:rPr>
          <w:rFonts w:cs="Times New Roman"/>
          <w:lang w:val="es-419"/>
        </w:rPr>
        <w:t xml:space="preserve">en la Misión Kemmerer se buscó disminuir la anarquía en la gestión administrativa y la gestión económica del Ecuador, creando en 1927 la Dirección de Suministros en el Ministerio de la Hacienda para que tenga la responsabilidad de los suministros y compras de materiales que el estado requería, creando así los dichosos contratos públicos. Luego, en el año 1964 nace la Ley de Licitaciones, misma que crea La Secretaría Técnica de Administración, manejando cuentas de las obras, programas y proyectos y actividades, manteniendo varios cambios hasta el año 1974 en donde se promulgó la Ley de Licitaciones y Concurso de Ofertas, concluyendo de manera anticipada el contrato y creando una partida presupuestaria para el establecimiento del control gubernamental, y así, en el año 1990 nace la Ley de Contratación Pública </w:t>
      </w:r>
      <w:sdt>
        <w:sdtPr>
          <w:rPr>
            <w:rFonts w:cs="Times New Roman"/>
            <w:lang w:val="es-419"/>
          </w:rPr>
          <w:id w:val="-1685969390"/>
          <w:citation/>
        </w:sdtPr>
        <w:sdtEndPr/>
        <w:sdtContent>
          <w:r w:rsidRPr="002B428A">
            <w:rPr>
              <w:rFonts w:cs="Times New Roman"/>
              <w:lang w:val="es-419"/>
            </w:rPr>
            <w:fldChar w:fldCharType="begin"/>
          </w:r>
          <w:r w:rsidRPr="002B428A">
            <w:rPr>
              <w:rFonts w:cs="Times New Roman"/>
              <w:lang w:val="es-MX"/>
            </w:rPr>
            <w:instrText xml:space="preserve"> CITATION Vis21 \l 2058 </w:instrText>
          </w:r>
          <w:r w:rsidRPr="002B428A">
            <w:rPr>
              <w:rFonts w:cs="Times New Roman"/>
              <w:lang w:val="es-419"/>
            </w:rPr>
            <w:fldChar w:fldCharType="separate"/>
          </w:r>
          <w:r w:rsidRPr="002B428A">
            <w:rPr>
              <w:rFonts w:cs="Times New Roman"/>
              <w:noProof/>
              <w:lang w:val="es-MX"/>
            </w:rPr>
            <w:t>(Viscarra, 2021)</w:t>
          </w:r>
          <w:r w:rsidRPr="002B428A">
            <w:rPr>
              <w:rFonts w:cs="Times New Roman"/>
              <w:lang w:val="es-419"/>
            </w:rPr>
            <w:fldChar w:fldCharType="end"/>
          </w:r>
        </w:sdtContent>
      </w:sdt>
      <w:r w:rsidRPr="002B428A">
        <w:rPr>
          <w:rFonts w:cs="Times New Roman"/>
          <w:lang w:val="es-419"/>
        </w:rPr>
        <w:t>.</w:t>
      </w:r>
    </w:p>
    <w:p w14:paraId="69312E11" w14:textId="6B999EE9" w:rsidR="009A20A4" w:rsidRPr="002B428A" w:rsidRDefault="3FB7E5DB" w:rsidP="00DB4E8E">
      <w:pPr>
        <w:pStyle w:val="Sangradetextonormal"/>
        <w:spacing w:after="0"/>
        <w:ind w:left="0"/>
        <w:jc w:val="both"/>
        <w:rPr>
          <w:rFonts w:cs="Times New Roman"/>
          <w:lang w:val="es-419"/>
        </w:rPr>
      </w:pPr>
      <w:r w:rsidRPr="002B428A">
        <w:rPr>
          <w:rFonts w:cs="Times New Roman"/>
          <w:lang w:val="es-419"/>
        </w:rPr>
        <w:t xml:space="preserve">La presente investigación aborda la temática del impacto del cumplimiento normativo en los procesos de contratación de obras del Gobierno Autónomo Descentralizado Municipal GAD de Archidona durante el año 2021. El cumplimiento normativo constituye un eje fundamental en la gestión pública, ya que garantiza que los procesos de contratación se desarrollen conforme a la legislación vigente, promoviendo la transparencia, la eficiencia en el uso de los recursos públicos y la confianza ciudadana en las instituciones del Estado. Para esto, existe el control interno, mismo que </w:t>
      </w:r>
      <w:r w:rsidR="49EE3242" w:rsidRPr="002B428A">
        <w:rPr>
          <w:rFonts w:cs="Times New Roman"/>
          <w:lang w:val="es-419"/>
        </w:rPr>
        <w:t>de acuerdo con</w:t>
      </w:r>
      <w:r w:rsidRPr="002B428A">
        <w:rPr>
          <w:rFonts w:cs="Times New Roman"/>
          <w:lang w:val="es-419"/>
        </w:rPr>
        <w:t xml:space="preserve"> Quinaluisa et al. </w:t>
      </w:r>
      <w:sdt>
        <w:sdtPr>
          <w:rPr>
            <w:rFonts w:cs="Times New Roman"/>
            <w:lang w:val="es-419"/>
          </w:rPr>
          <w:id w:val="1927308847"/>
          <w:citation/>
        </w:sdtPr>
        <w:sdtEndPr/>
        <w:sdtContent>
          <w:r w:rsidR="009A20A4" w:rsidRPr="002B428A">
            <w:rPr>
              <w:rFonts w:cs="Times New Roman"/>
              <w:lang w:val="es-419"/>
            </w:rPr>
            <w:fldChar w:fldCharType="begin"/>
          </w:r>
          <w:r w:rsidR="009A20A4" w:rsidRPr="002B428A">
            <w:rPr>
              <w:rFonts w:cs="Times New Roman"/>
              <w:lang w:val="es-MX"/>
            </w:rPr>
            <w:instrText xml:space="preserve">CITATION Qui18 \n  \t  \l 2058 </w:instrText>
          </w:r>
          <w:r w:rsidR="009A20A4" w:rsidRPr="002B428A">
            <w:rPr>
              <w:rFonts w:cs="Times New Roman"/>
              <w:lang w:val="es-419"/>
            </w:rPr>
            <w:fldChar w:fldCharType="separate"/>
          </w:r>
          <w:r w:rsidRPr="002B428A">
            <w:rPr>
              <w:rFonts w:cs="Times New Roman"/>
              <w:noProof/>
              <w:lang w:val="es-MX"/>
            </w:rPr>
            <w:t>(2018)</w:t>
          </w:r>
          <w:r w:rsidR="009A20A4" w:rsidRPr="002B428A">
            <w:rPr>
              <w:rFonts w:cs="Times New Roman"/>
              <w:lang w:val="es-419"/>
            </w:rPr>
            <w:fldChar w:fldCharType="end"/>
          </w:r>
        </w:sdtContent>
      </w:sdt>
      <w:r w:rsidRPr="002B428A">
        <w:rPr>
          <w:rFonts w:cs="Times New Roman"/>
          <w:lang w:val="es-419"/>
        </w:rPr>
        <w:t xml:space="preserve"> es empleado por la gerencia de una compañía como un sistema que controla integralmente los procesos operativos y administrativos de manera secuencial y ordenada, garantizando la veracidad de la información y cuantificación específica de sus activos salvaguardarlos y protegerlos.</w:t>
      </w:r>
    </w:p>
    <w:p w14:paraId="766FDCAB" w14:textId="1CEC2983" w:rsidR="009A20A4" w:rsidRPr="002B428A" w:rsidRDefault="009A20A4" w:rsidP="00DB4E8E">
      <w:pPr>
        <w:pStyle w:val="Sangradetextonormal"/>
        <w:spacing w:after="0"/>
        <w:ind w:left="0"/>
        <w:jc w:val="both"/>
        <w:rPr>
          <w:rFonts w:cs="Times New Roman"/>
          <w:lang w:val="es-419"/>
        </w:rPr>
      </w:pPr>
      <w:r w:rsidRPr="002B428A">
        <w:rPr>
          <w:rFonts w:cs="Times New Roman"/>
          <w:lang w:val="es-419"/>
        </w:rPr>
        <w:t>En el ámbito de la contratación de obras públicas, el apego a la normativa resulta determinante para asegurar la correcta planificación, ejecución y control de los proyectos de infraestructura, es del caso que, se ha evidenciado como problema de la investigación que actualmente se han presentado dificultades con distintas áreas requirentes, toda vez que al momento de dar inicio del proceso de contratación, los funcionarios no cuentan con formatos o modelos que den paso al inicio de los términos de referencia, ocasionando que los procesos sean revisados más de dos veces, y posteriormente sean enviados a corrección, generando retrasos y cuellos de botella</w:t>
      </w:r>
      <w:r w:rsidR="00B37543" w:rsidRPr="002B428A">
        <w:rPr>
          <w:rFonts w:cs="Times New Roman"/>
          <w:noProof/>
          <w:lang w:val="es-MX"/>
        </w:rPr>
        <w:t xml:space="preserve"> (Villaprado, 2025)</w:t>
      </w:r>
      <w:r w:rsidRPr="002B428A">
        <w:rPr>
          <w:rFonts w:cs="Times New Roman"/>
          <w:lang w:val="es-419"/>
        </w:rPr>
        <w:t xml:space="preserve">. </w:t>
      </w:r>
    </w:p>
    <w:p w14:paraId="67DF8367" w14:textId="5BEF3BE0" w:rsidR="009A20A4" w:rsidRPr="002B428A" w:rsidRDefault="009A20A4" w:rsidP="00DB4E8E">
      <w:pPr>
        <w:pStyle w:val="Sangradetextonormal"/>
        <w:spacing w:after="0"/>
        <w:ind w:left="0"/>
        <w:jc w:val="both"/>
        <w:rPr>
          <w:rFonts w:cs="Times New Roman"/>
          <w:lang w:val="es-419"/>
        </w:rPr>
      </w:pPr>
      <w:r w:rsidRPr="002B428A">
        <w:rPr>
          <w:rFonts w:cs="Times New Roman"/>
          <w:lang w:val="es-419"/>
        </w:rPr>
        <w:t>Por otro lado, se ha visualizado que a pesar de que los funcionarios son obligados a rendir un examen en la página del Portal de Compras Públicas y autocapacitarse, no existen resultados positivos de dicha metodología, en virtud de que se necesita un mayor seguimiento a el correcto uso de recursos en este tipo de capacitaciones. Finalmente, el GAD cuenta con un sistema de control interno poco eficiente para que estos procesos de contratación se realicen de manera efectiva, lo anterior ocurre en virtud de que no se realizan actualizaciones pertinentes en la normativa y tampoco se generan modelos de cada proceso, en tal sentido, esta investigación centra sus esfuerzos en identificar cómo el nivel de cumplimiento de la normativa legal y administrativa está influyendo en los procesos de contratación de obras que se están ejecutando por el GAD de Archidona, específicamente en el año 2021, en donde ya se evidencian contratos finalizados y permite un mejor análisis en su información tanto en errores procedimentales, retrasos</w:t>
      </w:r>
      <w:r w:rsidR="00D45039" w:rsidRPr="002B428A">
        <w:rPr>
          <w:rFonts w:cs="Times New Roman"/>
          <w:lang w:val="es-419"/>
        </w:rPr>
        <w:t xml:space="preserve"> </w:t>
      </w:r>
      <w:r w:rsidRPr="002B428A">
        <w:rPr>
          <w:rFonts w:cs="Times New Roman"/>
          <w:lang w:val="es-419"/>
        </w:rPr>
        <w:t>administrativos o incumplimiento de las disposiciones legales, y, así medir el impacto en la eficiencia, transparencia y resultados de los proyectos de obra pública.</w:t>
      </w:r>
    </w:p>
    <w:p w14:paraId="7842604E" w14:textId="77777777" w:rsidR="009A20A4" w:rsidRPr="002B428A" w:rsidRDefault="009A20A4" w:rsidP="00DB4E8E">
      <w:pPr>
        <w:pStyle w:val="Sangradetextonormal"/>
        <w:spacing w:after="0"/>
        <w:ind w:left="0"/>
        <w:jc w:val="both"/>
        <w:rPr>
          <w:rFonts w:cs="Times New Roman"/>
          <w:lang w:val="es-419"/>
        </w:rPr>
      </w:pPr>
      <w:r w:rsidRPr="002B428A">
        <w:rPr>
          <w:rFonts w:cs="Times New Roman"/>
          <w:lang w:val="es-419"/>
        </w:rPr>
        <w:t>La justificación de esta investigación radica en la necesidad de analizar el cumplimiento normativo como un factor clave para el fortalecimiento de la gestión pública local, misma que representa un instrumento efectivo que identifica el buen desempeño de una institución, cómo cumplen los funcionarios en el debido proceso y la forma en cómo la ciudad de Archidona se puede beneficiar de estos procesos de contratación pública, ya sea en transparencia, eficiencia y que se encuentren alineados debidamente con la normativa ecuatoriana.</w:t>
      </w:r>
    </w:p>
    <w:p w14:paraId="2BBADE7F" w14:textId="77777777" w:rsidR="009A20A4" w:rsidRPr="002B428A" w:rsidRDefault="009A20A4" w:rsidP="00DB4E8E">
      <w:pPr>
        <w:pStyle w:val="Sangradetextonormal"/>
        <w:spacing w:after="0"/>
        <w:ind w:left="0"/>
        <w:jc w:val="both"/>
        <w:rPr>
          <w:rFonts w:cs="Times New Roman"/>
          <w:lang w:val="es-419"/>
        </w:rPr>
      </w:pPr>
      <w:r w:rsidRPr="002B428A">
        <w:rPr>
          <w:rFonts w:cs="Times New Roman"/>
          <w:lang w:val="es-419"/>
        </w:rPr>
        <w:t>El objetivo general del artículo se centra en analizar el impacto del cumplimiento normativo en los procesos de contratación de obras del Gobierno Autónomo Descentralizado Municipal de Archidona durante el año 2021. Como objetivos específicos se plantea identificar el nivel de cumplimiento de la normativa vigente, evaluar su incidencia en la eficiencia y transparencia de los procesos de contratación y determinar las principales dificultades presentadas. Como hipótesis de investigación se plantea que un adecuado cumplimiento normativo incide positivamente en la eficiencia, transparencia y correcta ejecución de los procesos de contratación de obras públicas.</w:t>
      </w:r>
    </w:p>
    <w:p w14:paraId="1DEDFD74" w14:textId="1EFEBEA7" w:rsidR="009A20A4" w:rsidRPr="002B428A" w:rsidRDefault="009A20A4" w:rsidP="00DB4E8E">
      <w:pPr>
        <w:pStyle w:val="Sangradetextonormal"/>
        <w:spacing w:after="0"/>
        <w:ind w:left="0"/>
        <w:jc w:val="both"/>
        <w:rPr>
          <w:rFonts w:cs="Times New Roman"/>
          <w:lang w:val="es-419"/>
        </w:rPr>
      </w:pPr>
      <w:r w:rsidRPr="002B428A">
        <w:rPr>
          <w:rFonts w:cs="Times New Roman"/>
          <w:lang w:val="es-419"/>
        </w:rPr>
        <w:t xml:space="preserve">Finalmente, se considera que esta investigación </w:t>
      </w:r>
      <w:r w:rsidR="001E612D" w:rsidRPr="002B428A">
        <w:rPr>
          <w:rFonts w:cs="Times New Roman"/>
          <w:lang w:val="es-419"/>
        </w:rPr>
        <w:t>e</w:t>
      </w:r>
      <w:r w:rsidRPr="002B428A">
        <w:rPr>
          <w:rFonts w:cs="Times New Roman"/>
          <w:lang w:val="es-419"/>
        </w:rPr>
        <w:t>s factible y a su vez viable, toda vez que se cuenta con la data de los contratos del periodo estudiado en las áreas de obras, así como también se cuenta con el respaldo de la institución a la cual se le está aplicando el estudio. Adicionalmente, esta investigación contribuirá con la mejora de la planificación, la coordinación, la ejecución y seguimiento de los procesos y a su vez contar con una retroalimentación para el incentivo de mejoras, lo cual permitirá alcanzar los objetivos institucionales y también permitirá cumplir con indicadores planteados por la administración.</w:t>
      </w:r>
    </w:p>
    <w:p w14:paraId="3C7DF3AC" w14:textId="139D3E9E" w:rsidR="00D65644" w:rsidRPr="002B428A" w:rsidRDefault="638AC01E" w:rsidP="00DB4E8E">
      <w:pPr>
        <w:pStyle w:val="Sangradetextonormal"/>
        <w:numPr>
          <w:ilvl w:val="1"/>
          <w:numId w:val="39"/>
        </w:numPr>
        <w:spacing w:after="0"/>
        <w:ind w:left="0" w:firstLine="0"/>
        <w:jc w:val="both"/>
        <w:rPr>
          <w:rFonts w:cs="Times New Roman"/>
          <w:b/>
          <w:bCs/>
          <w:lang w:val="es-419"/>
        </w:rPr>
      </w:pPr>
      <w:r w:rsidRPr="002B428A">
        <w:rPr>
          <w:rFonts w:cs="Times New Roman"/>
          <w:b/>
          <w:bCs/>
          <w:lang w:val="es-419"/>
        </w:rPr>
        <w:t>Marco Teórico</w:t>
      </w:r>
    </w:p>
    <w:p w14:paraId="30772168" w14:textId="3896CDE4" w:rsidR="00D65644" w:rsidRPr="002B428A" w:rsidRDefault="638AC01E" w:rsidP="00DB4E8E">
      <w:pPr>
        <w:pStyle w:val="Sangradetextonormal"/>
        <w:spacing w:after="0"/>
        <w:ind w:left="0"/>
        <w:jc w:val="both"/>
        <w:rPr>
          <w:rFonts w:cs="Times New Roman"/>
          <w:lang w:val="es-419"/>
        </w:rPr>
      </w:pPr>
      <w:r w:rsidRPr="002B428A">
        <w:rPr>
          <w:rFonts w:cs="Times New Roman"/>
          <w:lang w:val="es-419"/>
        </w:rPr>
        <w:t xml:space="preserve">El cumplimiento normativo en la gestión pública constituye un elemento esencial para garantizar que las actuaciones de las instituciones se desarrollen conforme al marco legal vigente, asegurando no solo la legalidad de los procesos, sino también la eficiencia y la transparencia en el uso de los recursos públicos. En este sentido, diversos autores coinciden en que el cumplimiento normativo no debe entenderse únicamente como una obligación formal, sino como un componente estratégico de la administración, es del caso de </w:t>
      </w:r>
      <w:r w:rsidR="00847BDA" w:rsidRPr="002B428A">
        <w:rPr>
          <w:rFonts w:cs="Times New Roman"/>
          <w:lang w:val="es-419"/>
        </w:rPr>
        <w:t>Mendoza</w:t>
      </w:r>
      <w:r w:rsidRPr="002B428A">
        <w:rPr>
          <w:rFonts w:cs="Times New Roman"/>
          <w:lang w:val="es-419"/>
        </w:rPr>
        <w:t xml:space="preserve"> et al. (2018), autores que sostienen que este se encuentra estrechamente vinculado con el control interno, ya que permite verificar de manera sistemática</w:t>
      </w:r>
      <w:r w:rsidR="00A5798E" w:rsidRPr="002B428A">
        <w:rPr>
          <w:rFonts w:cs="Times New Roman"/>
          <w:lang w:val="es-419"/>
        </w:rPr>
        <w:t xml:space="preserve"> </w:t>
      </w:r>
      <w:r w:rsidRPr="002B428A">
        <w:rPr>
          <w:rFonts w:cs="Times New Roman"/>
          <w:lang w:val="es-419"/>
        </w:rPr>
        <w:t>que las actividades administrativas y operativas se ejecuten conforme a la normativa establecida. Por otro lado, el Committee of Sponsoring Organizations of the Treadway Commission (COSO) plantea que el cumplimiento constituye uno de los objetivos fundamentales del control interno, junto con la eficiencia operativa y la confiabilidad de la información, lo cual evidencia su carácter transversal dentro de la gestión institucional.</w:t>
      </w:r>
    </w:p>
    <w:p w14:paraId="2A6DD37F" w14:textId="50FC42AE" w:rsidR="00847BDA" w:rsidRPr="002B428A" w:rsidRDefault="00847BDA" w:rsidP="00DB4E8E">
      <w:pPr>
        <w:pStyle w:val="Sangradetextonormal"/>
        <w:spacing w:after="0"/>
        <w:ind w:left="0"/>
        <w:jc w:val="both"/>
        <w:rPr>
          <w:rFonts w:cs="Times New Roman"/>
          <w:noProof/>
          <w:sz w:val="22"/>
          <w:lang w:val="es-ES"/>
        </w:rPr>
      </w:pPr>
      <w:r w:rsidRPr="002B428A">
        <w:rPr>
          <w:rFonts w:cs="Times New Roman"/>
          <w:lang w:val="es-419"/>
        </w:rPr>
        <w:t>A nivel internacional</w:t>
      </w:r>
      <w:r w:rsidR="00194CBD" w:rsidRPr="002B428A">
        <w:rPr>
          <w:rFonts w:cs="Times New Roman"/>
          <w:lang w:val="es-419"/>
        </w:rPr>
        <w:t xml:space="preserve">, </w:t>
      </w:r>
      <w:r w:rsidR="00194CBD" w:rsidRPr="002B428A">
        <w:rPr>
          <w:rFonts w:cs="Times New Roman"/>
          <w:noProof/>
          <w:sz w:val="22"/>
          <w:lang w:val="es-ES"/>
        </w:rPr>
        <w:t>Ochsenius (2022)</w:t>
      </w:r>
      <w:r w:rsidR="00E62EFE" w:rsidRPr="002B428A">
        <w:rPr>
          <w:rFonts w:cs="Times New Roman"/>
          <w:noProof/>
          <w:sz w:val="22"/>
          <w:lang w:val="es-ES"/>
        </w:rPr>
        <w:t xml:space="preserve"> menciona que las normas de contratación pública se deben concebir para el beneficio de los operadores económicos como a los poderes adjudicando directamente a los ciudadanos y desarrollando mecanismos y actividades de control de forma permanente. Así mismo, la Oficina Independiente de Regulación y Supervisión de la Contratación (2025) menciona que la función de control en materia de contratación se realiza por medio de unidades responsables del control económico y financiero se debe dar al inicio de la licitación, durante la licitación </w:t>
      </w:r>
      <w:r w:rsidR="00F263CF" w:rsidRPr="002B428A">
        <w:rPr>
          <w:rFonts w:cs="Times New Roman"/>
          <w:noProof/>
          <w:sz w:val="22"/>
          <w:lang w:val="es-ES"/>
        </w:rPr>
        <w:t>y la adjudicación de los contratos, en la formalización y en la ejecución y finalización el contrato, por lo que, estas actuaciones de control representan una garantía inestimable para los gestores y los órganos que lo ejercen son el mejor socio para que se satisfaga el interés general y legitimar las administraciones públicas.</w:t>
      </w:r>
    </w:p>
    <w:p w14:paraId="6549552A" w14:textId="5F5E33E1" w:rsidR="00D65644" w:rsidRPr="002B428A" w:rsidRDefault="00D65644" w:rsidP="00DB4E8E">
      <w:pPr>
        <w:pStyle w:val="Sangradetextonormal"/>
        <w:spacing w:after="0"/>
        <w:ind w:left="0"/>
        <w:jc w:val="both"/>
        <w:rPr>
          <w:rFonts w:cs="Times New Roman"/>
          <w:lang w:val="es-419"/>
        </w:rPr>
      </w:pPr>
      <w:r w:rsidRPr="002B428A">
        <w:rPr>
          <w:rFonts w:cs="Times New Roman"/>
          <w:lang w:val="es-419"/>
        </w:rPr>
        <w:t>A pesar de lo anteriormente mencionado, no todos los autores abordan el cumplimiento normativo desde una perspectiva positiva, es del caso que, Aguilar (2017) determina que en contextos latinoamericanos, este suele verse limitado por factores como la débil cultura organizacional, la escasa capacitación efectiva y la falta de seguimiento a los procesos, lo que genera brechas entre la normativa formal y su aplicación en la práctica, lo cual permite comprender que el cumplimiento normativo no depende exclusivamente de la existencia de leyes o reglamentos, sino también de la capacidad institucional para implementarlos adecuadamente.</w:t>
      </w:r>
    </w:p>
    <w:p w14:paraId="495529EA" w14:textId="0719368A" w:rsidR="00D65644" w:rsidRPr="002B428A" w:rsidRDefault="002B0426" w:rsidP="00DB4E8E">
      <w:pPr>
        <w:pStyle w:val="Sangradetextonormal"/>
        <w:spacing w:after="0"/>
        <w:ind w:left="0"/>
        <w:jc w:val="both"/>
        <w:rPr>
          <w:rFonts w:cs="Times New Roman"/>
          <w:lang w:val="es-419"/>
        </w:rPr>
      </w:pPr>
      <w:r w:rsidRPr="002B428A">
        <w:rPr>
          <w:rFonts w:cs="Times New Roman"/>
          <w:lang w:val="es-419"/>
        </w:rPr>
        <w:t>Bajo este contexto</w:t>
      </w:r>
      <w:r w:rsidR="00D65644" w:rsidRPr="002B428A">
        <w:rPr>
          <w:rFonts w:cs="Times New Roman"/>
          <w:lang w:val="es-419"/>
        </w:rPr>
        <w:t xml:space="preserve">, el control interno emerge como un mecanismo clave para garantizar dicho cumplimiento, al constituirse en un sistema integral de políticas y procedimientos orientados a salvaguardar los recursos públicos y asegurar la confiabilidad de la información. </w:t>
      </w:r>
      <w:r w:rsidRPr="002B428A">
        <w:rPr>
          <w:rFonts w:cs="Times New Roman"/>
          <w:lang w:val="es-419"/>
        </w:rPr>
        <w:t>De acuerdo a</w:t>
      </w:r>
      <w:r w:rsidR="00D65644" w:rsidRPr="002B428A">
        <w:rPr>
          <w:rFonts w:cs="Times New Roman"/>
          <w:lang w:val="es-419"/>
        </w:rPr>
        <w:t xml:space="preserve"> Mantilla (2015), el control interno no solo cumple una función de supervisión, sino que también actúa como una herramienta de apoyo a la gestión, facilitando la toma de decisiones y previniendo irregularidades. </w:t>
      </w:r>
      <w:r w:rsidRPr="002B428A">
        <w:rPr>
          <w:rFonts w:cs="Times New Roman"/>
          <w:lang w:val="es-419"/>
        </w:rPr>
        <w:t>Así mismo</w:t>
      </w:r>
      <w:r w:rsidR="00D65644" w:rsidRPr="002B428A">
        <w:rPr>
          <w:rFonts w:cs="Times New Roman"/>
          <w:lang w:val="es-419"/>
        </w:rPr>
        <w:t>, Arens</w:t>
      </w:r>
      <w:r w:rsidRPr="002B428A">
        <w:rPr>
          <w:rFonts w:cs="Times New Roman"/>
          <w:lang w:val="es-419"/>
        </w:rPr>
        <w:t xml:space="preserve"> et al.</w:t>
      </w:r>
      <w:r w:rsidR="00D65644" w:rsidRPr="002B428A">
        <w:rPr>
          <w:rFonts w:cs="Times New Roman"/>
          <w:lang w:val="es-419"/>
        </w:rPr>
        <w:t xml:space="preserve"> (2016) señalan que un sistema de control interno mal diseñado o deficientemente aplicado puede generar efectos contrarios a los esperados, tales como duplicidad de funciones, retrasos administrativos y excesiva burocracia. Esta visión contrapuesta permite entender que la efectividad del control interno no radica únicamente en su existencia, sino en su adecuada implementación y actualización constante.</w:t>
      </w:r>
    </w:p>
    <w:p w14:paraId="6335C0EF" w14:textId="71F46EFB" w:rsidR="00D65644" w:rsidRPr="002B428A" w:rsidRDefault="00D65644" w:rsidP="00DB4E8E">
      <w:pPr>
        <w:pStyle w:val="Sangradetextonormal"/>
        <w:spacing w:after="0"/>
        <w:ind w:left="0"/>
        <w:jc w:val="both"/>
        <w:rPr>
          <w:rFonts w:cs="Times New Roman"/>
          <w:lang w:val="es-419"/>
        </w:rPr>
      </w:pPr>
      <w:r w:rsidRPr="002B428A">
        <w:rPr>
          <w:rFonts w:cs="Times New Roman"/>
          <w:lang w:val="es-419"/>
        </w:rPr>
        <w:t xml:space="preserve">Por otra parte, la contratación pública representa uno de los ámbitos más sensibles de la gestión estatal, debido a su impacto directo en la ejecución de obras y en la satisfacción de necesidades colectivas. En </w:t>
      </w:r>
      <w:r w:rsidR="002B0426" w:rsidRPr="002B428A">
        <w:rPr>
          <w:rFonts w:cs="Times New Roman"/>
          <w:lang w:val="es-419"/>
        </w:rPr>
        <w:t>Ecuador</w:t>
      </w:r>
      <w:r w:rsidRPr="002B428A">
        <w:rPr>
          <w:rFonts w:cs="Times New Roman"/>
          <w:lang w:val="es-419"/>
        </w:rPr>
        <w:t>, su evolución normativa refleja un esfuerzo progresivo por fortalecer los mecanismos de control y transparencia, tal como lo señala Viscarra (2021)</w:t>
      </w:r>
      <w:r w:rsidR="002B0426" w:rsidRPr="002B428A">
        <w:rPr>
          <w:rFonts w:cs="Times New Roman"/>
          <w:lang w:val="es-419"/>
        </w:rPr>
        <w:t xml:space="preserve"> quien menciona que</w:t>
      </w:r>
      <w:r w:rsidRPr="002B428A">
        <w:rPr>
          <w:rFonts w:cs="Times New Roman"/>
          <w:lang w:val="es-419"/>
        </w:rPr>
        <w:t xml:space="preserve"> la contratación de obras públicas implica una serie de etapas interrelacionadas que requieren un estricto apego a la normativa vigente. </w:t>
      </w:r>
      <w:r w:rsidR="002B0426" w:rsidRPr="002B428A">
        <w:rPr>
          <w:rFonts w:cs="Times New Roman"/>
          <w:lang w:val="es-419"/>
        </w:rPr>
        <w:t xml:space="preserve">Adicionalmente, </w:t>
      </w:r>
      <w:r w:rsidRPr="002B428A">
        <w:rPr>
          <w:rFonts w:cs="Times New Roman"/>
          <w:lang w:val="es-419"/>
        </w:rPr>
        <w:t>Bolaños (2019) destaca que cada fase del proceso</w:t>
      </w:r>
      <w:r w:rsidR="002B0426" w:rsidRPr="002B428A">
        <w:rPr>
          <w:rFonts w:cs="Times New Roman"/>
          <w:lang w:val="es-419"/>
        </w:rPr>
        <w:t xml:space="preserve"> </w:t>
      </w:r>
      <w:r w:rsidRPr="002B428A">
        <w:rPr>
          <w:rFonts w:cs="Times New Roman"/>
          <w:lang w:val="es-419"/>
        </w:rPr>
        <w:t>desde la planificación hasta la ejecución debe estar debidamente estructurada para evitar riesgos legales y administrativos</w:t>
      </w:r>
      <w:r w:rsidR="002B0426" w:rsidRPr="002B428A">
        <w:rPr>
          <w:rFonts w:cs="Times New Roman"/>
          <w:lang w:val="es-419"/>
        </w:rPr>
        <w:t>, lo cual también se complementa con lo mencionado por</w:t>
      </w:r>
      <w:r w:rsidRPr="002B428A">
        <w:rPr>
          <w:rFonts w:cs="Times New Roman"/>
          <w:lang w:val="es-419"/>
        </w:rPr>
        <w:t xml:space="preserve"> Ponce (2020) </w:t>
      </w:r>
      <w:r w:rsidR="002B0426" w:rsidRPr="002B428A">
        <w:rPr>
          <w:rFonts w:cs="Times New Roman"/>
          <w:lang w:val="es-419"/>
        </w:rPr>
        <w:t xml:space="preserve">quien </w:t>
      </w:r>
      <w:r w:rsidRPr="002B428A">
        <w:rPr>
          <w:rFonts w:cs="Times New Roman"/>
          <w:lang w:val="es-419"/>
        </w:rPr>
        <w:t>introduce un elemento crítico al señalar que la falta de estandarización de documentos y procedimientos, especialmente en la elaboración de términos de referencia, constituye una de las principales causas de ineficiencia en la contratación pública, lo que evidencia la importancia de contar con herramientas claras y uniformes.</w:t>
      </w:r>
    </w:p>
    <w:p w14:paraId="2037833E" w14:textId="265C200E" w:rsidR="00D65644" w:rsidRPr="002B428A" w:rsidRDefault="00D65644" w:rsidP="00DB4E8E">
      <w:pPr>
        <w:pStyle w:val="Sangradetextonormal"/>
        <w:spacing w:after="0"/>
        <w:ind w:left="0"/>
        <w:jc w:val="both"/>
        <w:rPr>
          <w:rFonts w:cs="Times New Roman"/>
          <w:lang w:val="es-419"/>
        </w:rPr>
      </w:pPr>
      <w:r w:rsidRPr="002B428A">
        <w:rPr>
          <w:rFonts w:cs="Times New Roman"/>
          <w:lang w:val="es-419"/>
        </w:rPr>
        <w:t>En relación con la eficiencia, esta se configura como un criterio fundamental para evaluar la calidad de la gestión pública</w:t>
      </w:r>
      <w:r w:rsidR="002B0426" w:rsidRPr="002B428A">
        <w:rPr>
          <w:rFonts w:cs="Times New Roman"/>
          <w:lang w:val="es-419"/>
        </w:rPr>
        <w:t>, conforme a lo que menciona</w:t>
      </w:r>
      <w:r w:rsidRPr="002B428A">
        <w:rPr>
          <w:rFonts w:cs="Times New Roman"/>
          <w:lang w:val="es-419"/>
        </w:rPr>
        <w:t xml:space="preserve"> Chiavenato (2014)</w:t>
      </w:r>
      <w:r w:rsidR="002B0426" w:rsidRPr="002B428A">
        <w:rPr>
          <w:rFonts w:cs="Times New Roman"/>
          <w:lang w:val="es-419"/>
        </w:rPr>
        <w:t xml:space="preserve"> </w:t>
      </w:r>
      <w:r w:rsidRPr="002B428A">
        <w:rPr>
          <w:rFonts w:cs="Times New Roman"/>
          <w:lang w:val="es-419"/>
        </w:rPr>
        <w:t xml:space="preserve">la eficiencia implica la utilización óptima de los recursos disponibles para alcanzar los objetivos institucionales, lo cual, en el ámbito de la contratación pública, se traduce en procesos ágiles, oportunos y libres de reprocesos innecesarios. Sin embargo, esta visión se contrapone con lo planteado por Ramírez (2018), quien sostiene que la burocracia excesiva, la falta de coordinación interinstitucional y las deficiencias en la planificación pueden afectar negativamente la eficiencia, generando retrasos y sobrecostos. </w:t>
      </w:r>
      <w:r w:rsidR="002B0426" w:rsidRPr="002B428A">
        <w:rPr>
          <w:rFonts w:cs="Times New Roman"/>
          <w:lang w:val="es-419"/>
        </w:rPr>
        <w:t>Lo anterior demuestra un c</w:t>
      </w:r>
      <w:r w:rsidRPr="002B428A">
        <w:rPr>
          <w:rFonts w:cs="Times New Roman"/>
          <w:lang w:val="es-419"/>
        </w:rPr>
        <w:t xml:space="preserve">ontraste </w:t>
      </w:r>
      <w:r w:rsidR="002B0426" w:rsidRPr="002B428A">
        <w:rPr>
          <w:rFonts w:cs="Times New Roman"/>
          <w:lang w:val="es-419"/>
        </w:rPr>
        <w:t>ya que</w:t>
      </w:r>
      <w:r w:rsidRPr="002B428A">
        <w:rPr>
          <w:rFonts w:cs="Times New Roman"/>
          <w:lang w:val="es-419"/>
        </w:rPr>
        <w:t xml:space="preserve"> permite comprender que la eficiencia no depende únicamente del cumplimiento de procedimientos, sino también de la articulación efectiva entre las distintas áreas involucradas.</w:t>
      </w:r>
    </w:p>
    <w:p w14:paraId="0CB2A304" w14:textId="59366A65" w:rsidR="00D65644" w:rsidRPr="002B428A" w:rsidRDefault="002B0426" w:rsidP="00DB4E8E">
      <w:pPr>
        <w:pStyle w:val="Sangradetextonormal"/>
        <w:spacing w:after="0"/>
        <w:ind w:left="0"/>
        <w:jc w:val="both"/>
        <w:rPr>
          <w:rFonts w:cs="Times New Roman"/>
          <w:lang w:val="es-419"/>
        </w:rPr>
      </w:pPr>
      <w:r w:rsidRPr="002B428A">
        <w:rPr>
          <w:rFonts w:cs="Times New Roman"/>
          <w:lang w:val="es-419"/>
        </w:rPr>
        <w:t xml:space="preserve">Por otro lado, </w:t>
      </w:r>
      <w:r w:rsidR="00D65644" w:rsidRPr="002B428A">
        <w:rPr>
          <w:rFonts w:cs="Times New Roman"/>
          <w:lang w:val="es-419"/>
        </w:rPr>
        <w:t>la transparencia se posiciona como un principio fundamental en la gestión pública contemporánea, al contribuir a fortalecer la confianza ciudadana y prevenir prácticas de corrupción</w:t>
      </w:r>
      <w:r w:rsidRPr="002B428A">
        <w:rPr>
          <w:rFonts w:cs="Times New Roman"/>
          <w:lang w:val="es-419"/>
        </w:rPr>
        <w:t>, por lo que resulta importante comprender</w:t>
      </w:r>
      <w:r w:rsidR="00D65644" w:rsidRPr="002B428A">
        <w:rPr>
          <w:rFonts w:cs="Times New Roman"/>
          <w:lang w:val="es-419"/>
        </w:rPr>
        <w:t xml:space="preserve"> que los procesos de contratación pública transparentes reducen significativamente los riesgos de irregularidades</w:t>
      </w:r>
      <w:r w:rsidRPr="002B428A">
        <w:rPr>
          <w:rFonts w:cs="Times New Roman"/>
          <w:lang w:val="es-419"/>
        </w:rPr>
        <w:t>. De acuerdo a</w:t>
      </w:r>
      <w:r w:rsidR="00D65644" w:rsidRPr="002B428A">
        <w:rPr>
          <w:rFonts w:cs="Times New Roman"/>
          <w:lang w:val="es-419"/>
        </w:rPr>
        <w:t xml:space="preserve"> Ackerman (2004)</w:t>
      </w:r>
      <w:r w:rsidRPr="002B428A">
        <w:rPr>
          <w:rFonts w:cs="Times New Roman"/>
          <w:lang w:val="es-419"/>
        </w:rPr>
        <w:t xml:space="preserve"> determina</w:t>
      </w:r>
      <w:r w:rsidR="00D65644" w:rsidRPr="002B428A">
        <w:rPr>
          <w:rFonts w:cs="Times New Roman"/>
          <w:lang w:val="es-419"/>
        </w:rPr>
        <w:t xml:space="preserve"> que la transparencia no se limita al acceso a la información, sino que implica la existencia de mecanismos efectivos de rendición de cuentas</w:t>
      </w:r>
      <w:r w:rsidRPr="002B428A">
        <w:rPr>
          <w:rFonts w:cs="Times New Roman"/>
          <w:lang w:val="es-419"/>
        </w:rPr>
        <w:t xml:space="preserve">; esta teoría se resalta con lo establecido por </w:t>
      </w:r>
      <w:r w:rsidR="00D65644" w:rsidRPr="002B428A">
        <w:rPr>
          <w:rFonts w:cs="Times New Roman"/>
          <w:lang w:val="es-419"/>
        </w:rPr>
        <w:t>Villoria (2016)</w:t>
      </w:r>
      <w:r w:rsidRPr="002B428A">
        <w:rPr>
          <w:rFonts w:cs="Times New Roman"/>
          <w:lang w:val="es-419"/>
        </w:rPr>
        <w:t xml:space="preserve">, quien </w:t>
      </w:r>
      <w:r w:rsidR="00D65644" w:rsidRPr="002B428A">
        <w:rPr>
          <w:rFonts w:cs="Times New Roman"/>
          <w:lang w:val="es-419"/>
        </w:rPr>
        <w:t>advierte que la transparencia puede verse comprometida cuando los procesos carecen de claridad o cuando los sistemas de control interno presentan debilidades, lo que pone en evidencia la estrecha relación entre transparencia y cumplimiento normativo.</w:t>
      </w:r>
    </w:p>
    <w:p w14:paraId="2283AC56" w14:textId="761DF697" w:rsidR="00D65644" w:rsidRPr="002B428A" w:rsidRDefault="002B0426" w:rsidP="00DB4E8E">
      <w:pPr>
        <w:pStyle w:val="Sangradetextonormal"/>
        <w:spacing w:after="0"/>
        <w:ind w:left="0"/>
        <w:jc w:val="both"/>
        <w:rPr>
          <w:rFonts w:cs="Times New Roman"/>
          <w:lang w:val="es-419"/>
        </w:rPr>
      </w:pPr>
      <w:r w:rsidRPr="002B428A">
        <w:rPr>
          <w:rFonts w:cs="Times New Roman"/>
          <w:lang w:val="es-419"/>
        </w:rPr>
        <w:t xml:space="preserve">Según </w:t>
      </w:r>
      <w:r w:rsidR="00D65644" w:rsidRPr="002B428A">
        <w:rPr>
          <w:rFonts w:cs="Times New Roman"/>
          <w:lang w:val="es-419"/>
        </w:rPr>
        <w:t>Klitgaard (1998) advierte que la falta de cumplimiento normativo puede generar espacios propicios para la ineficiencia e incluso la corrupción, especialmente en contextos donde los mecanismos de control son débiles o inexistentes.</w:t>
      </w:r>
      <w:r w:rsidRPr="002B428A">
        <w:rPr>
          <w:rFonts w:cs="Times New Roman"/>
          <w:lang w:val="es-419"/>
        </w:rPr>
        <w:t xml:space="preserve"> Lo anterior permite determinar que el cumplimiento normativo es relevante y permite que los procesos de contratación pública </w:t>
      </w:r>
      <w:r w:rsidR="00F42377" w:rsidRPr="002B428A">
        <w:rPr>
          <w:rFonts w:cs="Times New Roman"/>
          <w:lang w:val="es-419"/>
        </w:rPr>
        <w:t xml:space="preserve">sigan su curso </w:t>
      </w:r>
      <w:r w:rsidR="004C3436" w:rsidRPr="002B428A">
        <w:rPr>
          <w:rFonts w:cs="Times New Roman"/>
          <w:lang w:val="es-419"/>
        </w:rPr>
        <w:t>con un alto desempeño institucional, y, su correcta aplicación incide en la transparencia y la correcta ejecución de proyectos, evitando retrasos, errores procedimentales y la mala aplicación y uso de recursos públicos.</w:t>
      </w:r>
    </w:p>
    <w:p w14:paraId="324B5FAA" w14:textId="5A2606A9" w:rsidR="00944A71" w:rsidRPr="002B428A" w:rsidRDefault="15691B3D" w:rsidP="00DB4E8E">
      <w:pPr>
        <w:jc w:val="both"/>
        <w:rPr>
          <w:rFonts w:cs="Times New Roman"/>
          <w:b/>
          <w:bCs/>
          <w:sz w:val="28"/>
          <w:szCs w:val="28"/>
        </w:rPr>
      </w:pPr>
      <w:r w:rsidRPr="002B428A">
        <w:rPr>
          <w:rFonts w:cs="Times New Roman"/>
          <w:b/>
          <w:bCs/>
          <w:sz w:val="28"/>
          <w:szCs w:val="28"/>
        </w:rPr>
        <w:t>2</w:t>
      </w:r>
      <w:r w:rsidR="0A6B6BB4" w:rsidRPr="002B428A">
        <w:rPr>
          <w:rFonts w:cs="Times New Roman"/>
          <w:b/>
          <w:bCs/>
          <w:sz w:val="28"/>
          <w:szCs w:val="28"/>
        </w:rPr>
        <w:t xml:space="preserve">. </w:t>
      </w:r>
      <w:commentRangeStart w:id="2"/>
      <w:r w:rsidR="0A6B6BB4" w:rsidRPr="002B428A">
        <w:rPr>
          <w:rFonts w:cs="Times New Roman"/>
          <w:b/>
          <w:bCs/>
          <w:sz w:val="28"/>
          <w:szCs w:val="28"/>
        </w:rPr>
        <w:t>METODOLOGÍA</w:t>
      </w:r>
      <w:commentRangeEnd w:id="2"/>
      <w:r w:rsidR="00F80C0B" w:rsidRPr="002B428A">
        <w:rPr>
          <w:rStyle w:val="Refdecomentario"/>
          <w:rFonts w:cs="Times New Roman"/>
          <w:b/>
          <w:bCs/>
          <w:sz w:val="28"/>
          <w:szCs w:val="28"/>
        </w:rPr>
        <w:commentReference w:id="2"/>
      </w:r>
    </w:p>
    <w:p w14:paraId="2128212B" w14:textId="77777777" w:rsidR="009D382F" w:rsidRPr="002B428A" w:rsidRDefault="009D382F" w:rsidP="00DB4E8E">
      <w:pPr>
        <w:jc w:val="both"/>
        <w:rPr>
          <w:rFonts w:eastAsia="Times New Roman" w:cs="Times New Roman"/>
          <w:b/>
          <w:bCs/>
          <w:szCs w:val="24"/>
          <w:lang w:eastAsia="en-US"/>
        </w:rPr>
      </w:pPr>
      <w:r w:rsidRPr="002B428A">
        <w:rPr>
          <w:rFonts w:eastAsia="Times New Roman" w:cs="Times New Roman"/>
          <w:b/>
          <w:bCs/>
          <w:szCs w:val="24"/>
          <w:lang w:eastAsia="en-US"/>
        </w:rPr>
        <w:t>a) Enfoque del estudio</w:t>
      </w:r>
    </w:p>
    <w:p w14:paraId="1E15C638" w14:textId="6BA4445E" w:rsidR="00E23768" w:rsidRPr="002B428A" w:rsidRDefault="00E23768" w:rsidP="00DB4E8E">
      <w:pPr>
        <w:pStyle w:val="Sangradetextonormal"/>
        <w:spacing w:after="0"/>
        <w:ind w:left="0"/>
        <w:jc w:val="both"/>
        <w:rPr>
          <w:rFonts w:cs="Times New Roman"/>
          <w:lang w:val="es-419"/>
        </w:rPr>
      </w:pPr>
      <w:r w:rsidRPr="002B428A">
        <w:rPr>
          <w:rFonts w:cs="Times New Roman"/>
          <w:lang w:val="es-419"/>
        </w:rPr>
        <w:t>La presente investigación se desarrolló bajo un enfoque cuantitativo, ya que se empleó en el análisis de una base de datos correspondiente a los procesos de contratación de obras del Gobierno Autónomo Descentralizado Municipal de Archidona, lo que permitió medir el nivel de cumplimiento normativo a través de variables observables como el estado de los procesos contractuales, su frecuencia y su distribución en el año 2021, facilitando la identificación de patrones, tendencias y posibles deficiencias en la gestión administrativa.</w:t>
      </w:r>
    </w:p>
    <w:p w14:paraId="46FC3438" w14:textId="381FB58F" w:rsidR="00E23768" w:rsidRPr="002B428A" w:rsidRDefault="00E23768" w:rsidP="00DB4E8E">
      <w:pPr>
        <w:pStyle w:val="Sangradetextonormal"/>
        <w:spacing w:after="0"/>
        <w:ind w:left="0"/>
        <w:jc w:val="both"/>
        <w:rPr>
          <w:rFonts w:cs="Times New Roman"/>
          <w:lang w:val="es-419"/>
        </w:rPr>
      </w:pPr>
      <w:r w:rsidRPr="002B428A">
        <w:rPr>
          <w:rFonts w:cs="Times New Roman"/>
          <w:lang w:val="es-419"/>
        </w:rPr>
        <w:t>El tipo de investigación se consideró la descriptiva y aplicada,</w:t>
      </w:r>
      <w:r w:rsidR="00F263CF" w:rsidRPr="002B428A">
        <w:rPr>
          <w:rFonts w:cs="Times New Roman"/>
          <w:lang w:val="es-419"/>
        </w:rPr>
        <w:t xml:space="preserve"> tal como menciona</w:t>
      </w:r>
      <w:r w:rsidR="007D3082" w:rsidRPr="002B428A">
        <w:rPr>
          <w:rFonts w:cs="Times New Roman"/>
          <w:lang w:val="es-419"/>
        </w:rPr>
        <w:t xml:space="preserve">n </w:t>
      </w:r>
      <w:proofErr w:type="spellStart"/>
      <w:r w:rsidR="007D3082" w:rsidRPr="002B428A">
        <w:rPr>
          <w:rFonts w:cs="Times New Roman"/>
          <w:lang w:val="es-MX"/>
        </w:rPr>
        <w:t>Hernández-Sampieri</w:t>
      </w:r>
      <w:proofErr w:type="spellEnd"/>
      <w:r w:rsidR="007D3082" w:rsidRPr="002B428A">
        <w:rPr>
          <w:rFonts w:cs="Times New Roman"/>
          <w:lang w:val="es-MX"/>
        </w:rPr>
        <w:t xml:space="preserve"> &amp; Mendoza (20</w:t>
      </w:r>
      <w:r w:rsidR="00FA2279" w:rsidRPr="002B428A">
        <w:rPr>
          <w:rFonts w:cs="Times New Roman"/>
          <w:lang w:val="es-MX"/>
        </w:rPr>
        <w:t>18</w:t>
      </w:r>
      <w:r w:rsidR="007D3082" w:rsidRPr="002B428A">
        <w:rPr>
          <w:rFonts w:cs="Times New Roman"/>
          <w:lang w:val="es-MX"/>
        </w:rPr>
        <w:t>),</w:t>
      </w:r>
      <w:r w:rsidR="00F263CF" w:rsidRPr="002B428A">
        <w:rPr>
          <w:rFonts w:cs="Times New Roman"/>
          <w:lang w:val="es-419"/>
        </w:rPr>
        <w:t xml:space="preserve"> </w:t>
      </w:r>
      <w:r w:rsidRPr="002B428A">
        <w:rPr>
          <w:rFonts w:cs="Times New Roman"/>
          <w:lang w:val="es-419"/>
        </w:rPr>
        <w:t xml:space="preserve"> en el caso de la descriptiva, se considera de este tipo porque busca caracterizar el comportamiento de los procesos de contratación en función de su estado (cancelado, desierto, adjudicado, finalizado, entre otros), y, en el caso de aplicada porque sus resultados están orientados a proponer mejoras concretas en la gestión institucional del GAD de Archidona, contribuyendo al fortalecimiento del cumplimiento normativo y la eficiencia administrativa.</w:t>
      </w:r>
    </w:p>
    <w:p w14:paraId="4E4D33AE" w14:textId="77777777" w:rsidR="009D382F" w:rsidRPr="002B428A" w:rsidRDefault="009D382F" w:rsidP="00DB4E8E">
      <w:pPr>
        <w:jc w:val="both"/>
        <w:rPr>
          <w:rFonts w:eastAsia="Times New Roman" w:cs="Times New Roman"/>
          <w:b/>
          <w:bCs/>
          <w:szCs w:val="24"/>
          <w:lang w:eastAsia="en-US"/>
        </w:rPr>
      </w:pPr>
      <w:r w:rsidRPr="002B428A">
        <w:rPr>
          <w:rFonts w:eastAsia="Times New Roman" w:cs="Times New Roman"/>
          <w:b/>
          <w:bCs/>
          <w:szCs w:val="24"/>
          <w:lang w:eastAsia="en-US"/>
        </w:rPr>
        <w:t>b) Método</w:t>
      </w:r>
    </w:p>
    <w:p w14:paraId="12AE5652" w14:textId="4EA8D60F" w:rsidR="00E23768" w:rsidRPr="002B428A" w:rsidRDefault="00E23768" w:rsidP="00DB4E8E">
      <w:pPr>
        <w:pStyle w:val="Sangradetextonormal"/>
        <w:spacing w:after="0"/>
        <w:ind w:left="0"/>
        <w:jc w:val="both"/>
        <w:rPr>
          <w:rFonts w:cs="Times New Roman"/>
          <w:lang w:val="es-419"/>
        </w:rPr>
      </w:pPr>
      <w:r w:rsidRPr="002B428A">
        <w:rPr>
          <w:rFonts w:cs="Times New Roman"/>
          <w:lang w:val="es-419"/>
        </w:rPr>
        <w:t>El estudio se desarrolló mediante un diseño no experimental de tipo transversal, ya que se analizaron datos ya existentes sin manipulación de variables, lo cual permitió observar la realidad tal como se presenta en la base de datos institucional.</w:t>
      </w:r>
    </w:p>
    <w:p w14:paraId="28863615" w14:textId="2AEC2C91" w:rsidR="00E23768" w:rsidRPr="002B428A" w:rsidRDefault="00E23768" w:rsidP="00DB4E8E">
      <w:pPr>
        <w:pStyle w:val="Sangradetextonormal"/>
        <w:spacing w:after="0"/>
        <w:ind w:left="0"/>
        <w:jc w:val="both"/>
        <w:rPr>
          <w:rFonts w:cs="Times New Roman"/>
          <w:lang w:val="es-419"/>
        </w:rPr>
      </w:pPr>
      <w:r w:rsidRPr="002B428A">
        <w:rPr>
          <w:rFonts w:cs="Times New Roman"/>
          <w:lang w:val="es-419"/>
        </w:rPr>
        <w:t>Si bien el modelo PRISMA es utilizado tradicionalmente en revisiones sistemáticas de literatura, en esta investigación se adoptó de manera adaptada como guía metodológica para estructurar el proceso de depuración, organización y selección de la información contenida en la base de datos, permitiendo garantizar la trazabilidad, transparencia y rigurosidad en el tratamiento de los datos analizados.</w:t>
      </w:r>
    </w:p>
    <w:p w14:paraId="23297BE7" w14:textId="77777777" w:rsidR="009D382F" w:rsidRPr="002B428A" w:rsidRDefault="009D382F" w:rsidP="00DB4E8E">
      <w:pPr>
        <w:jc w:val="both"/>
        <w:rPr>
          <w:rFonts w:eastAsia="Times New Roman" w:cs="Times New Roman"/>
          <w:b/>
          <w:bCs/>
          <w:szCs w:val="24"/>
          <w:lang w:eastAsia="en-US"/>
        </w:rPr>
      </w:pPr>
      <w:r w:rsidRPr="002B428A">
        <w:rPr>
          <w:rFonts w:eastAsia="Times New Roman" w:cs="Times New Roman"/>
          <w:b/>
          <w:bCs/>
          <w:szCs w:val="24"/>
          <w:lang w:eastAsia="en-US"/>
        </w:rPr>
        <w:t>c) Fases del estudio</w:t>
      </w:r>
    </w:p>
    <w:p w14:paraId="31C74231" w14:textId="55B6816E" w:rsidR="00E23768" w:rsidRPr="002B428A" w:rsidRDefault="00E23768" w:rsidP="00DB4E8E">
      <w:pPr>
        <w:pStyle w:val="Sangradetextonormal"/>
        <w:spacing w:after="0"/>
        <w:ind w:left="0"/>
        <w:jc w:val="both"/>
        <w:rPr>
          <w:rFonts w:cs="Times New Roman"/>
          <w:lang w:val="es-419"/>
        </w:rPr>
      </w:pPr>
      <w:r w:rsidRPr="002B428A">
        <w:rPr>
          <w:rFonts w:cs="Times New Roman"/>
          <w:lang w:val="es-419"/>
        </w:rPr>
        <w:t>La investigación se desarrolló en cuatro fases metodológicas, la primera se considera la fase de búsqueda, misma que permitió realizar la recopilación de la información a partir de los registros institucionales del GAD de Archidona. La base de datos incluyó los procesos de contratación de obras correspondientes al periodo 2021, organizados según su estado (cancelado, desierto, en ejecución, finalizado, entre otros). Esta información fue obtenida de fuentes oficiales internas, garantizando su confiabilidad y pertinencia para el estudio.</w:t>
      </w:r>
    </w:p>
    <w:p w14:paraId="5DAF1E1D" w14:textId="38F0BE5C" w:rsidR="00E23768" w:rsidRPr="002B428A" w:rsidRDefault="00E23768" w:rsidP="00DB4E8E">
      <w:pPr>
        <w:pStyle w:val="Sangradetextonormal"/>
        <w:spacing w:after="0"/>
        <w:ind w:left="0"/>
        <w:jc w:val="both"/>
        <w:rPr>
          <w:rFonts w:cs="Times New Roman"/>
          <w:lang w:val="es-419"/>
        </w:rPr>
      </w:pPr>
      <w:r w:rsidRPr="002B428A">
        <w:rPr>
          <w:rFonts w:cs="Times New Roman"/>
          <w:lang w:val="es-419"/>
        </w:rPr>
        <w:t>Posteriormente, se llevó a cabo fase de evaluación, en donde se realizó la depuración de la base de datos, identificando registros incompletos, inconsistentes o duplicados. Se excluyeron aquellos procesos que no correspondían al objeto de estudio (por ejemplo, procesos no relacionados con obras públicas o registros sin información suficiente) y permitió asegurar la calidad de los datos utilizados en el análisis.</w:t>
      </w:r>
    </w:p>
    <w:p w14:paraId="3A228D40" w14:textId="1BDFE6BC" w:rsidR="00E23768" w:rsidRPr="002B428A" w:rsidRDefault="00E23768" w:rsidP="00DB4E8E">
      <w:pPr>
        <w:pStyle w:val="Sangradetextonormal"/>
        <w:spacing w:after="0"/>
        <w:ind w:left="0"/>
        <w:jc w:val="both"/>
        <w:rPr>
          <w:rFonts w:cs="Times New Roman"/>
          <w:lang w:val="es-419"/>
        </w:rPr>
      </w:pPr>
      <w:r w:rsidRPr="002B428A">
        <w:rPr>
          <w:rFonts w:cs="Times New Roman"/>
          <w:lang w:val="es-419"/>
        </w:rPr>
        <w:t>Adicionalmente, se desarrolló la fase de análisis, en donde se procedió a la clasificación y sistematización de los procesos de contratación según su estado y año y se realizó un análisis estadístico descriptivo, considerando frecuencias y distribución de los procesos, lo cual permitió identificar tendencias como altos niveles de procesos desiertos, cancelados o retrasados, evidenciando posibles debilidades en el cumplimiento normativo y en la planificación institucional.</w:t>
      </w:r>
    </w:p>
    <w:p w14:paraId="11B17CB1" w14:textId="4B969AFF" w:rsidR="00F55290" w:rsidRPr="002B428A" w:rsidRDefault="00E23768" w:rsidP="00DB4E8E">
      <w:pPr>
        <w:pStyle w:val="Sangradetextonormal"/>
        <w:spacing w:after="0"/>
        <w:ind w:left="0"/>
        <w:jc w:val="both"/>
        <w:rPr>
          <w:rFonts w:cs="Times New Roman"/>
          <w:b/>
          <w:bCs/>
          <w:szCs w:val="24"/>
        </w:rPr>
      </w:pPr>
      <w:r w:rsidRPr="002B428A">
        <w:rPr>
          <w:rFonts w:cs="Times New Roman"/>
          <w:lang w:val="es-419"/>
        </w:rPr>
        <w:t>Finalmente, se realizó la fase de síntesis, evidenciando que los resultados obtenidos fueron interpretados en función de los objetivos de la investigación y se establecieron relaciones entre el estado de los procesos y el nivel de cumplimiento normativo, permitiendo generar conclusiones orientadas a mejorar la eficiencia, transparencia y gestión de los procesos de contratación pública.</w:t>
      </w:r>
    </w:p>
    <w:p w14:paraId="5C1EFA08" w14:textId="61095ECD" w:rsidR="001250C4" w:rsidRPr="002B428A" w:rsidRDefault="001250C4" w:rsidP="00DB4E8E">
      <w:pPr>
        <w:jc w:val="both"/>
        <w:rPr>
          <w:rFonts w:cs="Times New Roman"/>
          <w:b/>
          <w:bCs/>
          <w:szCs w:val="24"/>
        </w:rPr>
      </w:pPr>
      <w:r w:rsidRPr="002B428A">
        <w:rPr>
          <w:rFonts w:cs="Times New Roman"/>
          <w:b/>
          <w:bCs/>
          <w:szCs w:val="24"/>
        </w:rPr>
        <w:t>Figura 1.</w:t>
      </w:r>
    </w:p>
    <w:p w14:paraId="6A3B8EA8" w14:textId="33B09B34" w:rsidR="00E23768" w:rsidRPr="002B428A" w:rsidRDefault="001250C4" w:rsidP="00DB4E8E">
      <w:pPr>
        <w:jc w:val="both"/>
        <w:rPr>
          <w:rFonts w:cs="Times New Roman"/>
          <w:i/>
          <w:iCs/>
          <w:szCs w:val="24"/>
        </w:rPr>
      </w:pPr>
      <w:r w:rsidRPr="002B428A">
        <w:rPr>
          <w:rFonts w:cs="Times New Roman"/>
          <w:i/>
          <w:iCs/>
          <w:szCs w:val="24"/>
        </w:rPr>
        <w:t>Diagrama del método PRISMA</w:t>
      </w:r>
    </w:p>
    <w:p w14:paraId="3DABC27E" w14:textId="43FC568A" w:rsidR="00F55290" w:rsidRPr="002B428A" w:rsidRDefault="007D3082" w:rsidP="00DB4E8E">
      <w:pPr>
        <w:jc w:val="center"/>
        <w:rPr>
          <w:rFonts w:cs="Times New Roman"/>
          <w:b/>
          <w:bCs/>
          <w:i/>
          <w:iCs/>
          <w:szCs w:val="24"/>
        </w:rPr>
      </w:pPr>
      <w:r w:rsidRPr="002B428A">
        <w:rPr>
          <w:rFonts w:cs="Times New Roman"/>
          <w:b/>
          <w:bCs/>
          <w:i/>
          <w:iCs/>
          <w:noProof/>
          <w:szCs w:val="24"/>
        </w:rPr>
        <w:drawing>
          <wp:inline distT="0" distB="0" distL="0" distR="0" wp14:anchorId="4290CD77" wp14:editId="263EA1C3">
            <wp:extent cx="4589145" cy="3035030"/>
            <wp:effectExtent l="0" t="0" r="1905" b="0"/>
            <wp:docPr id="174326592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0751" b="18511"/>
                    <a:stretch>
                      <a:fillRect/>
                    </a:stretch>
                  </pic:blipFill>
                  <pic:spPr bwMode="auto">
                    <a:xfrm>
                      <a:off x="0" y="0"/>
                      <a:ext cx="4597822" cy="3040769"/>
                    </a:xfrm>
                    <a:prstGeom prst="rect">
                      <a:avLst/>
                    </a:prstGeom>
                    <a:noFill/>
                    <a:ln>
                      <a:noFill/>
                    </a:ln>
                    <a:extLst>
                      <a:ext uri="{53640926-AAD7-44D8-BBD7-CCE9431645EC}">
                        <a14:shadowObscured xmlns:a14="http://schemas.microsoft.com/office/drawing/2010/main"/>
                      </a:ext>
                    </a:extLst>
                  </pic:spPr>
                </pic:pic>
              </a:graphicData>
            </a:graphic>
          </wp:inline>
        </w:drawing>
      </w:r>
    </w:p>
    <w:p w14:paraId="169ED8C2" w14:textId="511671B8" w:rsidR="001250C4" w:rsidRPr="002B428A" w:rsidRDefault="001250C4" w:rsidP="00DB4E8E">
      <w:pPr>
        <w:jc w:val="both"/>
        <w:rPr>
          <w:rFonts w:cs="Times New Roman"/>
          <w:szCs w:val="24"/>
        </w:rPr>
      </w:pPr>
      <w:r w:rsidRPr="002B428A">
        <w:rPr>
          <w:rFonts w:cs="Times New Roman"/>
          <w:b/>
          <w:bCs/>
          <w:i/>
          <w:iCs/>
          <w:szCs w:val="24"/>
        </w:rPr>
        <w:t>Nota.</w:t>
      </w:r>
      <w:r w:rsidRPr="002B428A">
        <w:rPr>
          <w:rFonts w:cs="Times New Roman"/>
          <w:szCs w:val="24"/>
        </w:rPr>
        <w:t xml:space="preserve"> </w:t>
      </w:r>
      <w:r w:rsidR="00E94DF5" w:rsidRPr="002B428A">
        <w:rPr>
          <w:rFonts w:cs="Times New Roman"/>
          <w:szCs w:val="24"/>
        </w:rPr>
        <w:t>El diagrama PRISMA muestra el proceso de identificación, depuración, cribado, evaluación e inclusión de los procesos de contratación de obras del Gobierno Autónomo Descentralizado Municipal de Archidona correspondientes al periodo 2021. Elaboración propia.</w:t>
      </w:r>
    </w:p>
    <w:p w14:paraId="05D643E0" w14:textId="0ADCCA75" w:rsidR="00E94DF5" w:rsidRPr="002B428A" w:rsidRDefault="009D382F" w:rsidP="00DB4E8E">
      <w:pPr>
        <w:jc w:val="both"/>
        <w:rPr>
          <w:rFonts w:eastAsia="Times New Roman" w:cs="Times New Roman"/>
          <w:b/>
          <w:bCs/>
          <w:szCs w:val="24"/>
          <w:lang w:eastAsia="en-US"/>
        </w:rPr>
      </w:pPr>
      <w:r w:rsidRPr="002B428A">
        <w:rPr>
          <w:rFonts w:eastAsia="Times New Roman" w:cs="Times New Roman"/>
          <w:b/>
          <w:bCs/>
          <w:szCs w:val="24"/>
          <w:lang w:eastAsia="en-US"/>
        </w:rPr>
        <w:t>d) Fuentes y muestra</w:t>
      </w:r>
    </w:p>
    <w:p w14:paraId="11A5D264" w14:textId="3A1960D8" w:rsidR="00E94DF5" w:rsidRPr="002B428A" w:rsidRDefault="00E94DF5" w:rsidP="00DB4E8E">
      <w:pPr>
        <w:pStyle w:val="Sangradetextonormal"/>
        <w:spacing w:after="0"/>
        <w:ind w:left="0"/>
        <w:jc w:val="both"/>
        <w:rPr>
          <w:rFonts w:cs="Times New Roman"/>
          <w:lang w:val="es-419"/>
        </w:rPr>
      </w:pPr>
      <w:r w:rsidRPr="002B428A">
        <w:rPr>
          <w:rFonts w:cs="Times New Roman"/>
          <w:lang w:val="es-419"/>
        </w:rPr>
        <w:t>La fuente principal de información fue la base de datos institucional del GAD Municipal de Archidona, específicamente de la unidad encargada de los procesos de contratación pública de obras. Por otro lado, el periodo de análisis comprende el año 2021, seleccionados debido a la disponibilidad de información y a la posibilidad de observar procesos en distintas etapas (iniciados, en ejecución y finalizados).</w:t>
      </w:r>
    </w:p>
    <w:p w14:paraId="6AB74085" w14:textId="3CA38759" w:rsidR="007D3082" w:rsidRPr="002B428A" w:rsidRDefault="00E94DF5" w:rsidP="00DB4E8E">
      <w:pPr>
        <w:pStyle w:val="Sangradetextonormal"/>
        <w:spacing w:after="0"/>
        <w:ind w:left="0"/>
        <w:jc w:val="both"/>
        <w:rPr>
          <w:rFonts w:cs="Times New Roman"/>
          <w:lang w:val="es-419"/>
        </w:rPr>
      </w:pPr>
      <w:r w:rsidRPr="002B428A">
        <w:rPr>
          <w:rFonts w:cs="Times New Roman"/>
          <w:lang w:val="es-419"/>
        </w:rPr>
        <w:t>La muestra estuvo conformada por la totalidad de procesos de contratación de obras registrados en la base de datos durante el periodo de estudio y, tras el proceso de depuración, se trabajó con los registros válidos que contenían información completa sobre su estado.</w:t>
      </w:r>
    </w:p>
    <w:p w14:paraId="0712548B" w14:textId="00A75A48" w:rsidR="00E94DF5" w:rsidRPr="002B428A" w:rsidRDefault="009D382F" w:rsidP="00DB4E8E">
      <w:pPr>
        <w:jc w:val="both"/>
        <w:rPr>
          <w:rFonts w:eastAsia="Times New Roman" w:cs="Times New Roman"/>
          <w:b/>
          <w:bCs/>
          <w:szCs w:val="24"/>
          <w:lang w:eastAsia="en-US"/>
        </w:rPr>
      </w:pPr>
      <w:r w:rsidRPr="002B428A">
        <w:rPr>
          <w:rFonts w:eastAsia="Times New Roman" w:cs="Times New Roman"/>
          <w:b/>
          <w:bCs/>
          <w:szCs w:val="24"/>
          <w:lang w:eastAsia="en-US"/>
        </w:rPr>
        <w:t>e) Criterios de inclusión y exclusión</w:t>
      </w:r>
    </w:p>
    <w:p w14:paraId="5A02FC23" w14:textId="4369916A" w:rsidR="00E94DF5" w:rsidRPr="002B428A" w:rsidRDefault="31E0BF95" w:rsidP="00DB4E8E">
      <w:pPr>
        <w:pStyle w:val="Sangradetextonormal"/>
        <w:spacing w:after="0"/>
        <w:ind w:left="0"/>
        <w:jc w:val="both"/>
        <w:rPr>
          <w:rFonts w:cs="Times New Roman"/>
          <w:lang w:val="es-419"/>
        </w:rPr>
      </w:pPr>
      <w:r w:rsidRPr="002B428A">
        <w:rPr>
          <w:rFonts w:cs="Times New Roman"/>
          <w:lang w:val="es-419"/>
        </w:rPr>
        <w:t xml:space="preserve">Los criterios de inclusión establecidos para la presente investigación permitieron delimitar de manera precisa el conjunto de datos objeto de análisis. En este sentido, se consideraron únicamente los procesos de contratación correspondientes a obras públicas, por ser estos directamente relacionados con el objetivo del estudio. Asimismo, se incluyeron los registros comprendidos dentro del periodo 2021, ya que este rango temporal garantiza la disponibilidad de información suficiente para el análisis y permite observar procesos en distintas fases. Finalmente, se tomaron en cuenta únicamente aquellos procesos que contaban con información </w:t>
      </w:r>
      <w:r w:rsidR="755AA73F" w:rsidRPr="002B428A">
        <w:rPr>
          <w:rFonts w:cs="Times New Roman"/>
          <w:lang w:val="es-419"/>
        </w:rPr>
        <w:t>completa</w:t>
      </w:r>
      <w:r w:rsidRPr="002B428A">
        <w:rPr>
          <w:rFonts w:cs="Times New Roman"/>
          <w:lang w:val="es-419"/>
        </w:rPr>
        <w:t xml:space="preserve"> respecto a su estado, lo cual resulta fundamental para asegurar la validez y consistencia de los resultados obtenidos.</w:t>
      </w:r>
    </w:p>
    <w:p w14:paraId="433D7590" w14:textId="688C35D9" w:rsidR="00F55290" w:rsidRPr="002B428A" w:rsidRDefault="00E94DF5" w:rsidP="00DB4E8E">
      <w:pPr>
        <w:pStyle w:val="Sangradetextonormal"/>
        <w:spacing w:after="0"/>
        <w:ind w:left="0"/>
        <w:jc w:val="both"/>
        <w:rPr>
          <w:rFonts w:cs="Times New Roman"/>
          <w:b/>
          <w:sz w:val="28"/>
          <w:szCs w:val="28"/>
        </w:rPr>
      </w:pPr>
      <w:r w:rsidRPr="002B428A">
        <w:rPr>
          <w:rFonts w:cs="Times New Roman"/>
          <w:lang w:val="es-419"/>
        </w:rPr>
        <w:t>Por otro lado, se definieron criterios de exclusión con el propósito de depurar la base de datos y evitar sesgos en el análisis. En primer lugar, se eliminaron los registros duplicados, con el fin de no sobreestimar la cantidad de procesos analizados. De igual manera, se excluyeron aquellos procesos que no correspondían a obras públicas, debido a que no guardan relación directa con el objeto de estudio. También se descartaron los datos incompletos o aquellos que no presentaban una clasificación clara de su estado, ya que dificultan su análisis e interpretación. Finalmente, se excluyeron los registros inconsistentes o que presentaban errores en su codificación, garantizando así la calidad y confiabilidad de la información utilizada en la investigación.</w:t>
      </w:r>
    </w:p>
    <w:p w14:paraId="5CCB9850" w14:textId="5B8EAF58" w:rsidR="003D4D92" w:rsidRPr="002B428A" w:rsidRDefault="00F80C0B" w:rsidP="00DB4E8E">
      <w:pPr>
        <w:jc w:val="both"/>
        <w:rPr>
          <w:rFonts w:cs="Times New Roman"/>
          <w:b/>
          <w:sz w:val="28"/>
          <w:szCs w:val="28"/>
        </w:rPr>
      </w:pPr>
      <w:r w:rsidRPr="002B428A">
        <w:rPr>
          <w:rFonts w:cs="Times New Roman"/>
          <w:b/>
          <w:sz w:val="28"/>
          <w:szCs w:val="28"/>
        </w:rPr>
        <w:t>3</w:t>
      </w:r>
      <w:r w:rsidR="003D4D92" w:rsidRPr="002B428A">
        <w:rPr>
          <w:rFonts w:cs="Times New Roman"/>
          <w:b/>
          <w:sz w:val="28"/>
          <w:szCs w:val="28"/>
        </w:rPr>
        <w:t>. RESULTADOS</w:t>
      </w:r>
    </w:p>
    <w:p w14:paraId="42FECFCC" w14:textId="2C0B4752" w:rsidR="00E94DF5" w:rsidRPr="002B428A" w:rsidRDefault="31E0BF95" w:rsidP="00DB4E8E">
      <w:pPr>
        <w:pStyle w:val="Sangradetextonormal"/>
        <w:spacing w:after="0"/>
        <w:ind w:left="0"/>
        <w:jc w:val="both"/>
        <w:rPr>
          <w:rFonts w:cs="Times New Roman"/>
          <w:lang w:val="es-419"/>
        </w:rPr>
      </w:pPr>
      <w:r w:rsidRPr="002B428A">
        <w:rPr>
          <w:rFonts w:cs="Times New Roman"/>
          <w:lang w:val="es-419"/>
        </w:rPr>
        <w:t xml:space="preserve">La presente investigación, de enfoque cuantitativo y alcance descriptivo, se centró en el análisis de los procesos de contratación de obras públicas del Gobierno Autónomo </w:t>
      </w:r>
      <w:commentRangeStart w:id="3"/>
      <w:r w:rsidRPr="002B428A">
        <w:rPr>
          <w:rFonts w:cs="Times New Roman"/>
          <w:lang w:val="es-419"/>
        </w:rPr>
        <w:t xml:space="preserve">Descentralizado Municipal de Archidona, a partir de una base de datos institucional correspondiente al periodo 2021. Luego del proceso de depuración y aplicación de criterios de inclusión y exclusión, se trabajó con un total de </w:t>
      </w:r>
      <w:r w:rsidR="04390F96" w:rsidRPr="002B428A">
        <w:rPr>
          <w:rFonts w:cs="Times New Roman"/>
          <w:lang w:val="es-419"/>
        </w:rPr>
        <w:t>2</w:t>
      </w:r>
      <w:r w:rsidR="007D3082" w:rsidRPr="002B428A">
        <w:rPr>
          <w:rFonts w:cs="Times New Roman"/>
          <w:lang w:val="es-419"/>
        </w:rPr>
        <w:t>5</w:t>
      </w:r>
      <w:r w:rsidRPr="002B428A">
        <w:rPr>
          <w:rFonts w:cs="Times New Roman"/>
          <w:lang w:val="es-419"/>
        </w:rPr>
        <w:t xml:space="preserve"> procesos válido</w:t>
      </w:r>
      <w:commentRangeEnd w:id="3"/>
      <w:r w:rsidR="00E94DF5" w:rsidRPr="002B428A">
        <w:rPr>
          <w:rStyle w:val="Refdecomentario"/>
          <w:rFonts w:cs="Times New Roman"/>
          <w:sz w:val="24"/>
          <w:szCs w:val="22"/>
          <w:lang w:val="es-419"/>
        </w:rPr>
        <w:commentReference w:id="3"/>
      </w:r>
      <w:r w:rsidRPr="002B428A">
        <w:rPr>
          <w:rFonts w:cs="Times New Roman"/>
          <w:lang w:val="es-419"/>
        </w:rPr>
        <w:t>s, los cuales fueron analizados en función de su estado dentro del ciclo de contratación pública.</w:t>
      </w:r>
    </w:p>
    <w:p w14:paraId="4476968E" w14:textId="77777777" w:rsidR="00E94DF5" w:rsidRPr="002B428A" w:rsidRDefault="00E94DF5" w:rsidP="00DB4E8E">
      <w:pPr>
        <w:pStyle w:val="Sangradetextonormal"/>
        <w:spacing w:after="0"/>
        <w:ind w:left="0"/>
        <w:jc w:val="both"/>
        <w:rPr>
          <w:rFonts w:cs="Times New Roman"/>
          <w:lang w:val="es-419"/>
        </w:rPr>
      </w:pPr>
      <w:r w:rsidRPr="002B428A">
        <w:rPr>
          <w:rFonts w:cs="Times New Roman"/>
          <w:lang w:val="es-419"/>
        </w:rPr>
        <w:t>El análisis se estructuró considerando como variable principal el estado del proceso de contratación, lo cual permitió identificar tendencias relacionadas con el cumplimiento normativo, eficiencia administrativa y ejecución de los proyectos.</w:t>
      </w:r>
    </w:p>
    <w:p w14:paraId="39141949" w14:textId="487B83AF" w:rsidR="009D382F" w:rsidRPr="002B428A" w:rsidRDefault="00E94DF5" w:rsidP="00DB4E8E">
      <w:pPr>
        <w:pStyle w:val="Sangradetextonormal"/>
        <w:spacing w:after="0"/>
        <w:ind w:left="0"/>
        <w:jc w:val="both"/>
        <w:rPr>
          <w:rFonts w:cs="Times New Roman"/>
        </w:rPr>
      </w:pPr>
      <w:r w:rsidRPr="002B428A">
        <w:rPr>
          <w:rFonts w:cs="Times New Roman"/>
        </w:rPr>
        <w:t>A continuación, se presenta la distribución de los procesos de contratación según su estado:</w:t>
      </w:r>
    </w:p>
    <w:p w14:paraId="4D8C549B" w14:textId="06941BF3" w:rsidR="00EE589C" w:rsidRPr="002B428A" w:rsidRDefault="00EE589C" w:rsidP="00DB4E8E">
      <w:pPr>
        <w:pStyle w:val="Textoindependiente"/>
      </w:pPr>
      <w:r w:rsidRPr="002B428A">
        <w:rPr>
          <w:b/>
          <w:bCs/>
        </w:rPr>
        <w:t>Tabla 1.</w:t>
      </w:r>
      <w:r w:rsidRPr="002B428A">
        <w:t xml:space="preserve"> </w:t>
      </w:r>
    </w:p>
    <w:p w14:paraId="18C64DB8" w14:textId="571A1C67" w:rsidR="00E94DF5" w:rsidRPr="002B428A" w:rsidRDefault="00D40A2D" w:rsidP="00DB4E8E">
      <w:pPr>
        <w:pStyle w:val="Textoindependiente"/>
        <w:rPr>
          <w:i/>
          <w:iCs/>
        </w:rPr>
      </w:pPr>
      <w:r w:rsidRPr="002B428A">
        <w:rPr>
          <w:i/>
          <w:iCs/>
        </w:rPr>
        <w:t>Muestra-Total de procesos del estudio</w:t>
      </w:r>
    </w:p>
    <w:tbl>
      <w:tblPr>
        <w:tblW w:w="5000" w:type="pct"/>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4677"/>
        <w:gridCol w:w="1753"/>
        <w:gridCol w:w="2408"/>
      </w:tblGrid>
      <w:tr w:rsidR="00D40A2D" w:rsidRPr="002B428A" w14:paraId="54944FF5" w14:textId="77777777" w:rsidTr="0083448F">
        <w:trPr>
          <w:tblHeader/>
          <w:tblCellSpacing w:w="15" w:type="dxa"/>
        </w:trPr>
        <w:tc>
          <w:tcPr>
            <w:tcW w:w="2604" w:type="pct"/>
            <w:tcBorders>
              <w:top w:val="nil"/>
              <w:bottom w:val="single" w:sz="4" w:space="0" w:color="auto"/>
            </w:tcBorders>
            <w:vAlign w:val="center"/>
            <w:hideMark/>
          </w:tcPr>
          <w:p w14:paraId="10D69F48" w14:textId="77777777" w:rsidR="00D40A2D" w:rsidRPr="002B428A" w:rsidRDefault="00D40A2D" w:rsidP="00DB4E8E">
            <w:pPr>
              <w:pStyle w:val="Textoindependiente"/>
              <w:rPr>
                <w:b/>
                <w:bCs/>
                <w:lang w:val="es-MX"/>
              </w:rPr>
            </w:pPr>
            <w:r w:rsidRPr="002B428A">
              <w:rPr>
                <w:b/>
                <w:bCs/>
                <w:lang w:val="es-MX"/>
              </w:rPr>
              <w:t>Estado del proceso</w:t>
            </w:r>
          </w:p>
        </w:tc>
        <w:tc>
          <w:tcPr>
            <w:tcW w:w="968" w:type="pct"/>
            <w:tcBorders>
              <w:top w:val="nil"/>
              <w:bottom w:val="single" w:sz="4" w:space="0" w:color="auto"/>
            </w:tcBorders>
            <w:vAlign w:val="center"/>
            <w:hideMark/>
          </w:tcPr>
          <w:p w14:paraId="14A940B6" w14:textId="77777777" w:rsidR="00D40A2D" w:rsidRPr="002B428A" w:rsidRDefault="00D40A2D" w:rsidP="00DB4E8E">
            <w:pPr>
              <w:pStyle w:val="Textoindependiente"/>
              <w:rPr>
                <w:b/>
                <w:bCs/>
                <w:lang w:val="es-MX"/>
              </w:rPr>
            </w:pPr>
            <w:r w:rsidRPr="002B428A">
              <w:rPr>
                <w:b/>
                <w:bCs/>
                <w:lang w:val="es-MX"/>
              </w:rPr>
              <w:t>Frecuencia</w:t>
            </w:r>
          </w:p>
        </w:tc>
        <w:tc>
          <w:tcPr>
            <w:tcW w:w="1328" w:type="pct"/>
            <w:tcBorders>
              <w:top w:val="nil"/>
              <w:bottom w:val="single" w:sz="4" w:space="0" w:color="auto"/>
            </w:tcBorders>
            <w:vAlign w:val="center"/>
            <w:hideMark/>
          </w:tcPr>
          <w:p w14:paraId="3C243865" w14:textId="77777777" w:rsidR="00D40A2D" w:rsidRPr="002B428A" w:rsidRDefault="00D40A2D" w:rsidP="00DB4E8E">
            <w:pPr>
              <w:pStyle w:val="Textoindependiente"/>
              <w:rPr>
                <w:b/>
                <w:bCs/>
                <w:lang w:val="es-MX"/>
              </w:rPr>
            </w:pPr>
            <w:r w:rsidRPr="002B428A">
              <w:rPr>
                <w:b/>
                <w:bCs/>
                <w:lang w:val="es-MX"/>
              </w:rPr>
              <w:t>Porcentaje (%)</w:t>
            </w:r>
          </w:p>
        </w:tc>
      </w:tr>
      <w:tr w:rsidR="00D40A2D" w:rsidRPr="002B428A" w14:paraId="5C1CB838" w14:textId="77777777" w:rsidTr="0083448F">
        <w:trPr>
          <w:tblCellSpacing w:w="15" w:type="dxa"/>
        </w:trPr>
        <w:tc>
          <w:tcPr>
            <w:tcW w:w="2604" w:type="pct"/>
            <w:vAlign w:val="center"/>
            <w:hideMark/>
          </w:tcPr>
          <w:p w14:paraId="58CC5EF7" w14:textId="77777777" w:rsidR="00D40A2D" w:rsidRPr="002B428A" w:rsidRDefault="00D40A2D" w:rsidP="00DB4E8E">
            <w:pPr>
              <w:pStyle w:val="Textoindependiente"/>
              <w:rPr>
                <w:lang w:val="es-MX"/>
              </w:rPr>
            </w:pPr>
            <w:r w:rsidRPr="002B428A">
              <w:rPr>
                <w:lang w:val="es-MX"/>
              </w:rPr>
              <w:t>Cancelado</w:t>
            </w:r>
          </w:p>
        </w:tc>
        <w:tc>
          <w:tcPr>
            <w:tcW w:w="968" w:type="pct"/>
            <w:vAlign w:val="center"/>
            <w:hideMark/>
          </w:tcPr>
          <w:p w14:paraId="33641853" w14:textId="77777777" w:rsidR="00D40A2D" w:rsidRPr="002B428A" w:rsidRDefault="00D40A2D" w:rsidP="00DB4E8E">
            <w:pPr>
              <w:pStyle w:val="Textoindependiente"/>
              <w:rPr>
                <w:lang w:val="es-MX"/>
              </w:rPr>
            </w:pPr>
            <w:r w:rsidRPr="002B428A">
              <w:rPr>
                <w:lang w:val="es-MX"/>
              </w:rPr>
              <w:t>3</w:t>
            </w:r>
          </w:p>
        </w:tc>
        <w:tc>
          <w:tcPr>
            <w:tcW w:w="1328" w:type="pct"/>
            <w:vAlign w:val="center"/>
            <w:hideMark/>
          </w:tcPr>
          <w:p w14:paraId="220605E4" w14:textId="22A18176" w:rsidR="00D40A2D" w:rsidRPr="002B428A" w:rsidRDefault="0063376E" w:rsidP="00DB4E8E">
            <w:pPr>
              <w:pStyle w:val="Textoindependiente"/>
              <w:rPr>
                <w:lang w:val="es-MX"/>
              </w:rPr>
            </w:pPr>
            <w:r w:rsidRPr="002B428A">
              <w:rPr>
                <w:lang w:val="es-MX"/>
              </w:rPr>
              <w:t>12</w:t>
            </w:r>
            <w:r w:rsidR="00D40A2D" w:rsidRPr="002B428A">
              <w:rPr>
                <w:lang w:val="es-MX"/>
              </w:rPr>
              <w:t>%</w:t>
            </w:r>
          </w:p>
        </w:tc>
      </w:tr>
      <w:tr w:rsidR="00D40A2D" w:rsidRPr="002B428A" w14:paraId="53CBEC49" w14:textId="77777777" w:rsidTr="0083448F">
        <w:trPr>
          <w:tblCellSpacing w:w="15" w:type="dxa"/>
        </w:trPr>
        <w:tc>
          <w:tcPr>
            <w:tcW w:w="2604" w:type="pct"/>
            <w:vAlign w:val="center"/>
            <w:hideMark/>
          </w:tcPr>
          <w:p w14:paraId="54D4259E" w14:textId="77777777" w:rsidR="00D40A2D" w:rsidRPr="002B428A" w:rsidRDefault="00D40A2D" w:rsidP="00DB4E8E">
            <w:pPr>
              <w:pStyle w:val="Textoindependiente"/>
              <w:rPr>
                <w:lang w:val="es-MX"/>
              </w:rPr>
            </w:pPr>
            <w:r w:rsidRPr="002B428A">
              <w:rPr>
                <w:lang w:val="es-MX"/>
              </w:rPr>
              <w:t>Desierto</w:t>
            </w:r>
          </w:p>
        </w:tc>
        <w:tc>
          <w:tcPr>
            <w:tcW w:w="968" w:type="pct"/>
            <w:vAlign w:val="center"/>
            <w:hideMark/>
          </w:tcPr>
          <w:p w14:paraId="69B4001A" w14:textId="7980465A" w:rsidR="00D40A2D" w:rsidRPr="002B428A" w:rsidRDefault="00341552" w:rsidP="00DB4E8E">
            <w:pPr>
              <w:pStyle w:val="Textoindependiente"/>
              <w:rPr>
                <w:lang w:val="es-MX"/>
              </w:rPr>
            </w:pPr>
            <w:r w:rsidRPr="002B428A">
              <w:rPr>
                <w:lang w:val="es-MX"/>
              </w:rPr>
              <w:t>2</w:t>
            </w:r>
          </w:p>
        </w:tc>
        <w:tc>
          <w:tcPr>
            <w:tcW w:w="1328" w:type="pct"/>
            <w:vAlign w:val="center"/>
            <w:hideMark/>
          </w:tcPr>
          <w:p w14:paraId="3974E041" w14:textId="5141A3DB" w:rsidR="00D40A2D" w:rsidRPr="002B428A" w:rsidRDefault="0063376E" w:rsidP="00DB4E8E">
            <w:pPr>
              <w:pStyle w:val="Textoindependiente"/>
              <w:rPr>
                <w:lang w:val="es-MX"/>
              </w:rPr>
            </w:pPr>
            <w:r w:rsidRPr="002B428A">
              <w:rPr>
                <w:lang w:val="es-MX"/>
              </w:rPr>
              <w:t>8</w:t>
            </w:r>
            <w:r w:rsidR="00D40A2D" w:rsidRPr="002B428A">
              <w:rPr>
                <w:lang w:val="es-MX"/>
              </w:rPr>
              <w:t>%</w:t>
            </w:r>
          </w:p>
        </w:tc>
      </w:tr>
      <w:tr w:rsidR="00D40A2D" w:rsidRPr="002B428A" w14:paraId="474BA67F" w14:textId="77777777" w:rsidTr="0083448F">
        <w:trPr>
          <w:tblCellSpacing w:w="15" w:type="dxa"/>
        </w:trPr>
        <w:tc>
          <w:tcPr>
            <w:tcW w:w="2604" w:type="pct"/>
            <w:vAlign w:val="center"/>
            <w:hideMark/>
          </w:tcPr>
          <w:p w14:paraId="5134A215" w14:textId="6A0A2D1D" w:rsidR="00D40A2D" w:rsidRPr="002B428A" w:rsidRDefault="00341552" w:rsidP="00DB4E8E">
            <w:pPr>
              <w:pStyle w:val="Textoindependiente"/>
              <w:rPr>
                <w:lang w:val="es-MX"/>
              </w:rPr>
            </w:pPr>
            <w:r w:rsidRPr="002B428A">
              <w:rPr>
                <w:lang w:val="es-MX"/>
              </w:rPr>
              <w:t>Ejecución de contrato</w:t>
            </w:r>
          </w:p>
        </w:tc>
        <w:tc>
          <w:tcPr>
            <w:tcW w:w="968" w:type="pct"/>
            <w:vAlign w:val="center"/>
            <w:hideMark/>
          </w:tcPr>
          <w:p w14:paraId="6B3AD93E" w14:textId="37010189" w:rsidR="00D40A2D" w:rsidRPr="002B428A" w:rsidRDefault="0063376E" w:rsidP="00DB4E8E">
            <w:pPr>
              <w:pStyle w:val="Textoindependiente"/>
              <w:rPr>
                <w:lang w:val="es-MX"/>
              </w:rPr>
            </w:pPr>
            <w:r w:rsidRPr="002B428A">
              <w:rPr>
                <w:lang w:val="es-MX"/>
              </w:rPr>
              <w:t>3</w:t>
            </w:r>
          </w:p>
        </w:tc>
        <w:tc>
          <w:tcPr>
            <w:tcW w:w="1328" w:type="pct"/>
            <w:vAlign w:val="center"/>
            <w:hideMark/>
          </w:tcPr>
          <w:p w14:paraId="4BAD02A7" w14:textId="50753D0A" w:rsidR="00D40A2D" w:rsidRPr="002B428A" w:rsidRDefault="00D40A2D" w:rsidP="00DB4E8E">
            <w:pPr>
              <w:pStyle w:val="Textoindependiente"/>
              <w:rPr>
                <w:lang w:val="es-MX"/>
              </w:rPr>
            </w:pPr>
            <w:r w:rsidRPr="002B428A">
              <w:rPr>
                <w:lang w:val="es-MX"/>
              </w:rPr>
              <w:t>1</w:t>
            </w:r>
            <w:r w:rsidR="0063376E" w:rsidRPr="002B428A">
              <w:rPr>
                <w:lang w:val="es-MX"/>
              </w:rPr>
              <w:t>2</w:t>
            </w:r>
            <w:r w:rsidRPr="002B428A">
              <w:rPr>
                <w:lang w:val="es-MX"/>
              </w:rPr>
              <w:t>%</w:t>
            </w:r>
          </w:p>
        </w:tc>
      </w:tr>
      <w:tr w:rsidR="00D40A2D" w:rsidRPr="002B428A" w14:paraId="25FE5BDF" w14:textId="77777777" w:rsidTr="0083448F">
        <w:trPr>
          <w:tblCellSpacing w:w="15" w:type="dxa"/>
        </w:trPr>
        <w:tc>
          <w:tcPr>
            <w:tcW w:w="2604" w:type="pct"/>
            <w:vAlign w:val="center"/>
            <w:hideMark/>
          </w:tcPr>
          <w:p w14:paraId="3C3F2A35" w14:textId="20FED113" w:rsidR="00D40A2D" w:rsidRPr="002B428A" w:rsidRDefault="00341552" w:rsidP="00DB4E8E">
            <w:pPr>
              <w:pStyle w:val="Textoindependiente"/>
              <w:rPr>
                <w:lang w:val="es-MX"/>
              </w:rPr>
            </w:pPr>
            <w:r w:rsidRPr="002B428A">
              <w:rPr>
                <w:lang w:val="es-MX"/>
              </w:rPr>
              <w:t>En recepción</w:t>
            </w:r>
          </w:p>
        </w:tc>
        <w:tc>
          <w:tcPr>
            <w:tcW w:w="968" w:type="pct"/>
            <w:vAlign w:val="center"/>
            <w:hideMark/>
          </w:tcPr>
          <w:p w14:paraId="5E430573" w14:textId="77777777" w:rsidR="00D40A2D" w:rsidRPr="002B428A" w:rsidRDefault="00D40A2D" w:rsidP="00DB4E8E">
            <w:pPr>
              <w:pStyle w:val="Textoindependiente"/>
              <w:rPr>
                <w:lang w:val="es-MX"/>
              </w:rPr>
            </w:pPr>
            <w:r w:rsidRPr="002B428A">
              <w:rPr>
                <w:lang w:val="es-MX"/>
              </w:rPr>
              <w:t>5</w:t>
            </w:r>
          </w:p>
        </w:tc>
        <w:tc>
          <w:tcPr>
            <w:tcW w:w="1328" w:type="pct"/>
            <w:vAlign w:val="center"/>
            <w:hideMark/>
          </w:tcPr>
          <w:p w14:paraId="4C34F095" w14:textId="2C801E9F" w:rsidR="00D40A2D" w:rsidRPr="002B428A" w:rsidRDefault="0063376E" w:rsidP="00DB4E8E">
            <w:pPr>
              <w:pStyle w:val="Textoindependiente"/>
              <w:rPr>
                <w:lang w:val="es-MX"/>
              </w:rPr>
            </w:pPr>
            <w:r w:rsidRPr="002B428A">
              <w:rPr>
                <w:lang w:val="es-MX"/>
              </w:rPr>
              <w:t>20</w:t>
            </w:r>
            <w:r w:rsidR="00D40A2D" w:rsidRPr="002B428A">
              <w:rPr>
                <w:lang w:val="es-MX"/>
              </w:rPr>
              <w:t>%</w:t>
            </w:r>
          </w:p>
        </w:tc>
      </w:tr>
      <w:tr w:rsidR="00D40A2D" w:rsidRPr="002B428A" w14:paraId="3E363FD6" w14:textId="77777777" w:rsidTr="0083448F">
        <w:trPr>
          <w:tblCellSpacing w:w="15" w:type="dxa"/>
        </w:trPr>
        <w:tc>
          <w:tcPr>
            <w:tcW w:w="2604" w:type="pct"/>
            <w:vAlign w:val="center"/>
            <w:hideMark/>
          </w:tcPr>
          <w:p w14:paraId="2A174863" w14:textId="59A1F62E" w:rsidR="00D40A2D" w:rsidRPr="002B428A" w:rsidRDefault="00341552" w:rsidP="00DB4E8E">
            <w:pPr>
              <w:pStyle w:val="Textoindependiente"/>
              <w:rPr>
                <w:lang w:val="es-MX"/>
              </w:rPr>
            </w:pPr>
            <w:r w:rsidRPr="002B428A">
              <w:rPr>
                <w:lang w:val="es-MX"/>
              </w:rPr>
              <w:t>Finalizado</w:t>
            </w:r>
          </w:p>
        </w:tc>
        <w:tc>
          <w:tcPr>
            <w:tcW w:w="968" w:type="pct"/>
            <w:vAlign w:val="center"/>
            <w:hideMark/>
          </w:tcPr>
          <w:p w14:paraId="5A40D7A7" w14:textId="00D18A6D" w:rsidR="00D40A2D" w:rsidRPr="002B428A" w:rsidRDefault="00341552" w:rsidP="00DB4E8E">
            <w:pPr>
              <w:pStyle w:val="Textoindependiente"/>
              <w:rPr>
                <w:lang w:val="es-MX"/>
              </w:rPr>
            </w:pPr>
            <w:r w:rsidRPr="002B428A">
              <w:rPr>
                <w:lang w:val="es-MX"/>
              </w:rPr>
              <w:t>1</w:t>
            </w:r>
            <w:r w:rsidR="007D3082" w:rsidRPr="002B428A">
              <w:rPr>
                <w:lang w:val="es-MX"/>
              </w:rPr>
              <w:t>1</w:t>
            </w:r>
          </w:p>
        </w:tc>
        <w:tc>
          <w:tcPr>
            <w:tcW w:w="1328" w:type="pct"/>
            <w:vAlign w:val="center"/>
            <w:hideMark/>
          </w:tcPr>
          <w:p w14:paraId="049E0BC5" w14:textId="12BD7036" w:rsidR="00D40A2D" w:rsidRPr="002B428A" w:rsidRDefault="0063376E" w:rsidP="00DB4E8E">
            <w:pPr>
              <w:pStyle w:val="Textoindependiente"/>
              <w:rPr>
                <w:lang w:val="es-MX"/>
              </w:rPr>
            </w:pPr>
            <w:r w:rsidRPr="002B428A">
              <w:rPr>
                <w:lang w:val="es-MX"/>
              </w:rPr>
              <w:t>4</w:t>
            </w:r>
            <w:r w:rsidR="007D3082" w:rsidRPr="002B428A">
              <w:rPr>
                <w:lang w:val="es-MX"/>
              </w:rPr>
              <w:t>4</w:t>
            </w:r>
            <w:r w:rsidR="00D40A2D" w:rsidRPr="002B428A">
              <w:rPr>
                <w:lang w:val="es-MX"/>
              </w:rPr>
              <w:t>%</w:t>
            </w:r>
          </w:p>
        </w:tc>
      </w:tr>
      <w:tr w:rsidR="00D40A2D" w:rsidRPr="002B428A" w14:paraId="7B5BFB0D" w14:textId="77777777" w:rsidTr="0083448F">
        <w:trPr>
          <w:tblCellSpacing w:w="15" w:type="dxa"/>
        </w:trPr>
        <w:tc>
          <w:tcPr>
            <w:tcW w:w="2604" w:type="pct"/>
            <w:vAlign w:val="center"/>
            <w:hideMark/>
          </w:tcPr>
          <w:p w14:paraId="423BC238" w14:textId="535D95E0" w:rsidR="00D40A2D" w:rsidRPr="002B428A" w:rsidRDefault="00341552" w:rsidP="00DB4E8E">
            <w:pPr>
              <w:pStyle w:val="Textoindependiente"/>
              <w:rPr>
                <w:lang w:val="es-MX"/>
              </w:rPr>
            </w:pPr>
            <w:r w:rsidRPr="002B428A">
              <w:rPr>
                <w:lang w:val="es-MX"/>
              </w:rPr>
              <w:t>Terminación por mutuo acuerdo</w:t>
            </w:r>
          </w:p>
        </w:tc>
        <w:tc>
          <w:tcPr>
            <w:tcW w:w="968" w:type="pct"/>
            <w:vAlign w:val="center"/>
            <w:hideMark/>
          </w:tcPr>
          <w:p w14:paraId="0996B125" w14:textId="3295AFB9" w:rsidR="00D40A2D" w:rsidRPr="002B428A" w:rsidRDefault="00341552" w:rsidP="00DB4E8E">
            <w:pPr>
              <w:pStyle w:val="Textoindependiente"/>
              <w:rPr>
                <w:lang w:val="es-MX"/>
              </w:rPr>
            </w:pPr>
            <w:r w:rsidRPr="002B428A">
              <w:rPr>
                <w:lang w:val="es-MX"/>
              </w:rPr>
              <w:t>1</w:t>
            </w:r>
          </w:p>
        </w:tc>
        <w:tc>
          <w:tcPr>
            <w:tcW w:w="1328" w:type="pct"/>
            <w:vAlign w:val="center"/>
            <w:hideMark/>
          </w:tcPr>
          <w:p w14:paraId="751680E6" w14:textId="3717F529" w:rsidR="00D40A2D" w:rsidRPr="002B428A" w:rsidRDefault="0063376E" w:rsidP="00DB4E8E">
            <w:pPr>
              <w:pStyle w:val="Textoindependiente"/>
              <w:rPr>
                <w:lang w:val="es-MX"/>
              </w:rPr>
            </w:pPr>
            <w:r w:rsidRPr="002B428A">
              <w:rPr>
                <w:lang w:val="es-MX"/>
              </w:rPr>
              <w:t>4</w:t>
            </w:r>
            <w:r w:rsidR="00D40A2D" w:rsidRPr="002B428A">
              <w:rPr>
                <w:lang w:val="es-MX"/>
              </w:rPr>
              <w:t>%</w:t>
            </w:r>
          </w:p>
        </w:tc>
      </w:tr>
      <w:tr w:rsidR="00341552" w:rsidRPr="002B428A" w14:paraId="75906068" w14:textId="77777777" w:rsidTr="0083448F">
        <w:trPr>
          <w:tblCellSpacing w:w="15" w:type="dxa"/>
        </w:trPr>
        <w:tc>
          <w:tcPr>
            <w:tcW w:w="2604" w:type="pct"/>
            <w:vAlign w:val="center"/>
            <w:hideMark/>
          </w:tcPr>
          <w:p w14:paraId="12BB1989" w14:textId="0FEC93A9" w:rsidR="00341552" w:rsidRPr="002B428A" w:rsidRDefault="00341552" w:rsidP="00DB4E8E">
            <w:pPr>
              <w:pStyle w:val="Textoindependiente"/>
              <w:rPr>
                <w:lang w:val="es-MX"/>
              </w:rPr>
            </w:pPr>
            <w:r w:rsidRPr="002B428A">
              <w:rPr>
                <w:lang w:val="es-MX"/>
              </w:rPr>
              <w:t>Terminación unilateral</w:t>
            </w:r>
          </w:p>
        </w:tc>
        <w:tc>
          <w:tcPr>
            <w:tcW w:w="968" w:type="pct"/>
            <w:vAlign w:val="center"/>
            <w:hideMark/>
          </w:tcPr>
          <w:p w14:paraId="2ECF6155" w14:textId="464F4EF3" w:rsidR="00341552" w:rsidRPr="002B428A" w:rsidRDefault="00341552" w:rsidP="00DB4E8E">
            <w:pPr>
              <w:pStyle w:val="Textoindependiente"/>
              <w:rPr>
                <w:lang w:val="es-MX"/>
              </w:rPr>
            </w:pPr>
            <w:r w:rsidRPr="002B428A">
              <w:rPr>
                <w:lang w:val="es-MX"/>
              </w:rPr>
              <w:t>0</w:t>
            </w:r>
          </w:p>
        </w:tc>
        <w:tc>
          <w:tcPr>
            <w:tcW w:w="1328" w:type="pct"/>
            <w:vAlign w:val="center"/>
            <w:hideMark/>
          </w:tcPr>
          <w:p w14:paraId="64D5B512" w14:textId="24005258" w:rsidR="00341552" w:rsidRPr="002B428A" w:rsidRDefault="0063376E" w:rsidP="00DB4E8E">
            <w:pPr>
              <w:pStyle w:val="Textoindependiente"/>
              <w:rPr>
                <w:lang w:val="es-MX"/>
              </w:rPr>
            </w:pPr>
            <w:r w:rsidRPr="002B428A">
              <w:rPr>
                <w:lang w:val="es-MX"/>
              </w:rPr>
              <w:t>0</w:t>
            </w:r>
            <w:r w:rsidR="00341552" w:rsidRPr="002B428A">
              <w:rPr>
                <w:lang w:val="es-MX"/>
              </w:rPr>
              <w:t>%</w:t>
            </w:r>
          </w:p>
        </w:tc>
      </w:tr>
      <w:tr w:rsidR="00341552" w:rsidRPr="002B428A" w14:paraId="164B45C8" w14:textId="77777777" w:rsidTr="0083448F">
        <w:trPr>
          <w:tblCellSpacing w:w="15" w:type="dxa"/>
        </w:trPr>
        <w:tc>
          <w:tcPr>
            <w:tcW w:w="2604" w:type="pct"/>
            <w:vAlign w:val="center"/>
            <w:hideMark/>
          </w:tcPr>
          <w:p w14:paraId="20FEAC44" w14:textId="77777777" w:rsidR="00341552" w:rsidRPr="002B428A" w:rsidRDefault="00341552" w:rsidP="00DB4E8E">
            <w:pPr>
              <w:pStyle w:val="Textoindependiente"/>
              <w:rPr>
                <w:lang w:val="es-MX"/>
              </w:rPr>
            </w:pPr>
            <w:r w:rsidRPr="002B428A">
              <w:rPr>
                <w:b/>
                <w:bCs/>
                <w:lang w:val="es-MX"/>
              </w:rPr>
              <w:t>TOTAL</w:t>
            </w:r>
          </w:p>
        </w:tc>
        <w:tc>
          <w:tcPr>
            <w:tcW w:w="968" w:type="pct"/>
            <w:vAlign w:val="center"/>
            <w:hideMark/>
          </w:tcPr>
          <w:p w14:paraId="65236EB7" w14:textId="68C5542B" w:rsidR="00341552" w:rsidRPr="002B428A" w:rsidRDefault="00341552" w:rsidP="00DB4E8E">
            <w:pPr>
              <w:pStyle w:val="Textoindependiente"/>
              <w:rPr>
                <w:lang w:val="es-MX"/>
              </w:rPr>
            </w:pPr>
            <w:r w:rsidRPr="002B428A">
              <w:rPr>
                <w:lang w:val="es-MX"/>
              </w:rPr>
              <w:t>2</w:t>
            </w:r>
            <w:r w:rsidR="007D3082" w:rsidRPr="002B428A">
              <w:rPr>
                <w:lang w:val="es-MX"/>
              </w:rPr>
              <w:t>5</w:t>
            </w:r>
          </w:p>
        </w:tc>
        <w:tc>
          <w:tcPr>
            <w:tcW w:w="1328" w:type="pct"/>
            <w:vAlign w:val="center"/>
            <w:hideMark/>
          </w:tcPr>
          <w:p w14:paraId="1B5B3D4C" w14:textId="77777777" w:rsidR="00341552" w:rsidRPr="002B428A" w:rsidRDefault="00341552" w:rsidP="00DB4E8E">
            <w:pPr>
              <w:pStyle w:val="Textoindependiente"/>
              <w:rPr>
                <w:lang w:val="es-MX"/>
              </w:rPr>
            </w:pPr>
            <w:r w:rsidRPr="002B428A">
              <w:rPr>
                <w:b/>
                <w:bCs/>
                <w:lang w:val="es-MX"/>
              </w:rPr>
              <w:t>100%</w:t>
            </w:r>
          </w:p>
        </w:tc>
      </w:tr>
    </w:tbl>
    <w:p w14:paraId="3954F02B" w14:textId="7D547BEF" w:rsidR="00EE589C" w:rsidRPr="002B428A" w:rsidRDefault="00EE589C" w:rsidP="00DB4E8E">
      <w:pPr>
        <w:jc w:val="both"/>
        <w:rPr>
          <w:rFonts w:cs="Times New Roman"/>
          <w:i/>
          <w:iCs/>
          <w:szCs w:val="24"/>
        </w:rPr>
      </w:pPr>
      <w:r w:rsidRPr="002B428A">
        <w:rPr>
          <w:rFonts w:cs="Times New Roman"/>
          <w:b/>
          <w:bCs/>
          <w:i/>
          <w:iCs/>
          <w:szCs w:val="24"/>
        </w:rPr>
        <w:t xml:space="preserve">Nota. </w:t>
      </w:r>
      <w:r w:rsidR="00D40A2D" w:rsidRPr="0083448F">
        <w:rPr>
          <w:rFonts w:cs="Times New Roman"/>
          <w:szCs w:val="24"/>
        </w:rPr>
        <w:t xml:space="preserve">La tabla muestra la distribución de los procesos de contratación de obras públicas según su estado. Se evidencia una mayor concentración en procesos declarados </w:t>
      </w:r>
      <w:r w:rsidR="00A83177" w:rsidRPr="0083448F">
        <w:rPr>
          <w:rFonts w:cs="Times New Roman"/>
          <w:szCs w:val="24"/>
        </w:rPr>
        <w:t>finalizados</w:t>
      </w:r>
      <w:r w:rsidR="00D40A2D" w:rsidRPr="0083448F">
        <w:rPr>
          <w:rFonts w:cs="Times New Roman"/>
          <w:szCs w:val="24"/>
        </w:rPr>
        <w:t xml:space="preserve">, seguidos de aquellos en </w:t>
      </w:r>
      <w:r w:rsidR="00A83177" w:rsidRPr="0083448F">
        <w:rPr>
          <w:rFonts w:cs="Times New Roman"/>
          <w:szCs w:val="24"/>
        </w:rPr>
        <w:t>recepción</w:t>
      </w:r>
      <w:r w:rsidR="00D40A2D" w:rsidRPr="0083448F">
        <w:rPr>
          <w:rFonts w:cs="Times New Roman"/>
          <w:szCs w:val="24"/>
        </w:rPr>
        <w:t xml:space="preserve">, mientras que un menor porcentaje corresponde a procesos </w:t>
      </w:r>
      <w:r w:rsidR="00A83177" w:rsidRPr="0083448F">
        <w:rPr>
          <w:rFonts w:cs="Times New Roman"/>
          <w:szCs w:val="24"/>
        </w:rPr>
        <w:t xml:space="preserve">cancelados y ejecución </w:t>
      </w:r>
      <w:r w:rsidR="003F4608" w:rsidRPr="0083448F">
        <w:rPr>
          <w:rFonts w:cs="Times New Roman"/>
          <w:szCs w:val="24"/>
        </w:rPr>
        <w:t>del contrato</w:t>
      </w:r>
      <w:r w:rsidR="00D40A2D" w:rsidRPr="0083448F">
        <w:rPr>
          <w:rFonts w:cs="Times New Roman"/>
          <w:szCs w:val="24"/>
        </w:rPr>
        <w:t>, lo cual refleja posibles debilidades en la planificación y cumplimiento normativo. Elaboración propia.</w:t>
      </w:r>
    </w:p>
    <w:p w14:paraId="7CBFBFF8" w14:textId="7084901F" w:rsidR="00D40A2D" w:rsidRPr="002B428A" w:rsidRDefault="00D40A2D" w:rsidP="00DB4E8E">
      <w:pPr>
        <w:pStyle w:val="Sangradetextonormal"/>
        <w:spacing w:after="0"/>
        <w:ind w:left="0"/>
        <w:jc w:val="both"/>
        <w:rPr>
          <w:rFonts w:cs="Times New Roman"/>
          <w:lang w:val="es-419"/>
        </w:rPr>
      </w:pPr>
      <w:r w:rsidRPr="002B428A">
        <w:rPr>
          <w:rFonts w:cs="Times New Roman"/>
          <w:lang w:val="es-419"/>
        </w:rPr>
        <w:t xml:space="preserve">Los resultados evidencian que una proporción significativa de los procesos de contratación se concentra en estados problemáticos desde la perspectiva del cumplimiento normativo y la eficiencia. En particular, el </w:t>
      </w:r>
      <w:r w:rsidR="0063376E" w:rsidRPr="002B428A">
        <w:rPr>
          <w:rFonts w:cs="Times New Roman"/>
          <w:lang w:val="es-419"/>
        </w:rPr>
        <w:t>8</w:t>
      </w:r>
      <w:r w:rsidRPr="002B428A">
        <w:rPr>
          <w:rFonts w:cs="Times New Roman"/>
          <w:lang w:val="es-419"/>
        </w:rPr>
        <w:t>% de los procesos fueron declarados desiertos, lo que sugiere deficiencias en la planificación, formulación de términos de referencia o falta de oferentes, aspectos directamente vinculados a debilidades en el cumplimiento de la normativa.</w:t>
      </w:r>
    </w:p>
    <w:p w14:paraId="73AA1C82" w14:textId="627CC1EE" w:rsidR="00D40A2D" w:rsidRPr="002B428A" w:rsidRDefault="00D40A2D" w:rsidP="00DB4E8E">
      <w:pPr>
        <w:pStyle w:val="Sangradetextonormal"/>
        <w:spacing w:after="0"/>
        <w:ind w:left="0"/>
        <w:jc w:val="both"/>
        <w:rPr>
          <w:rFonts w:cs="Times New Roman"/>
          <w:lang w:val="es-419"/>
        </w:rPr>
      </w:pPr>
      <w:r w:rsidRPr="002B428A">
        <w:rPr>
          <w:rFonts w:cs="Times New Roman"/>
          <w:lang w:val="es-419"/>
        </w:rPr>
        <w:t xml:space="preserve">Por otro lado, se observa que el </w:t>
      </w:r>
      <w:r w:rsidR="0063376E" w:rsidRPr="002B428A">
        <w:rPr>
          <w:rFonts w:cs="Times New Roman"/>
          <w:lang w:val="es-419"/>
        </w:rPr>
        <w:t>4</w:t>
      </w:r>
      <w:r w:rsidR="004030BE" w:rsidRPr="002B428A">
        <w:rPr>
          <w:rFonts w:cs="Times New Roman"/>
          <w:lang w:val="es-419"/>
        </w:rPr>
        <w:t>4</w:t>
      </w:r>
      <w:r w:rsidRPr="002B428A">
        <w:rPr>
          <w:rFonts w:cs="Times New Roman"/>
          <w:lang w:val="es-419"/>
        </w:rPr>
        <w:t xml:space="preserve">% de los procesos han sido finalizados, lo cual refleja </w:t>
      </w:r>
      <w:r w:rsidR="0063376E" w:rsidRPr="002B428A">
        <w:rPr>
          <w:rFonts w:cs="Times New Roman"/>
          <w:lang w:val="es-419"/>
        </w:rPr>
        <w:t>un nivel favorable de culminación de proyectos</w:t>
      </w:r>
      <w:r w:rsidRPr="002B428A">
        <w:rPr>
          <w:rFonts w:cs="Times New Roman"/>
          <w:lang w:val="es-419"/>
        </w:rPr>
        <w:t xml:space="preserve"> dentro del periodo analizado. </w:t>
      </w:r>
      <w:r w:rsidR="0063376E" w:rsidRPr="002B428A">
        <w:rPr>
          <w:rFonts w:cs="Times New Roman"/>
          <w:lang w:val="es-419"/>
        </w:rPr>
        <w:t>Sin embargo</w:t>
      </w:r>
      <w:r w:rsidRPr="002B428A">
        <w:rPr>
          <w:rFonts w:cs="Times New Roman"/>
          <w:lang w:val="es-419"/>
        </w:rPr>
        <w:t>,</w:t>
      </w:r>
      <w:r w:rsidR="0063376E" w:rsidRPr="002B428A">
        <w:rPr>
          <w:rFonts w:cs="Times New Roman"/>
          <w:lang w:val="es-419"/>
        </w:rPr>
        <w:t xml:space="preserve"> el 33% de</w:t>
      </w:r>
      <w:r w:rsidRPr="002B428A">
        <w:rPr>
          <w:rFonts w:cs="Times New Roman"/>
          <w:lang w:val="es-419"/>
        </w:rPr>
        <w:t xml:space="preserve"> los procesos</w:t>
      </w:r>
      <w:r w:rsidR="0063376E" w:rsidRPr="002B428A">
        <w:rPr>
          <w:rFonts w:cs="Times New Roman"/>
          <w:lang w:val="es-419"/>
        </w:rPr>
        <w:t xml:space="preserve"> se encuentran en etapas intermedias</w:t>
      </w:r>
      <w:r w:rsidRPr="002B428A">
        <w:rPr>
          <w:rFonts w:cs="Times New Roman"/>
          <w:lang w:val="es-419"/>
        </w:rPr>
        <w:t xml:space="preserve">, como </w:t>
      </w:r>
      <w:r w:rsidR="0063376E" w:rsidRPr="002B428A">
        <w:rPr>
          <w:rFonts w:cs="Times New Roman"/>
          <w:lang w:val="es-419"/>
        </w:rPr>
        <w:t>la recepción</w:t>
      </w:r>
      <w:r w:rsidRPr="002B428A">
        <w:rPr>
          <w:rFonts w:cs="Times New Roman"/>
          <w:lang w:val="es-419"/>
        </w:rPr>
        <w:t xml:space="preserve"> (</w:t>
      </w:r>
      <w:r w:rsidR="0063376E" w:rsidRPr="002B428A">
        <w:rPr>
          <w:rFonts w:cs="Times New Roman"/>
          <w:lang w:val="es-419"/>
        </w:rPr>
        <w:t xml:space="preserve">20) </w:t>
      </w:r>
      <w:r w:rsidRPr="002B428A">
        <w:rPr>
          <w:rFonts w:cs="Times New Roman"/>
          <w:lang w:val="es-419"/>
        </w:rPr>
        <w:t>y ejecución (</w:t>
      </w:r>
      <w:r w:rsidR="0063376E" w:rsidRPr="002B428A">
        <w:rPr>
          <w:rFonts w:cs="Times New Roman"/>
          <w:lang w:val="es-419"/>
        </w:rPr>
        <w:t>12</w:t>
      </w:r>
      <w:r w:rsidRPr="002B428A">
        <w:rPr>
          <w:rFonts w:cs="Times New Roman"/>
          <w:lang w:val="es-419"/>
        </w:rPr>
        <w:t>%), evidencian una concentración importante de contratos que no han llegado a su fase final, lo que podría estar relacionado con cuellos de botella en la gestión institucional.</w:t>
      </w:r>
    </w:p>
    <w:p w14:paraId="5509C118" w14:textId="2B83966C" w:rsidR="00D40A2D" w:rsidRPr="002B428A" w:rsidRDefault="00D40A2D" w:rsidP="00DB4E8E">
      <w:pPr>
        <w:pStyle w:val="Sangradetextonormal"/>
        <w:spacing w:after="0"/>
        <w:ind w:left="0"/>
        <w:jc w:val="both"/>
        <w:rPr>
          <w:rFonts w:cs="Times New Roman"/>
          <w:lang w:val="es-419"/>
        </w:rPr>
      </w:pPr>
      <w:r w:rsidRPr="002B428A">
        <w:rPr>
          <w:rFonts w:cs="Times New Roman"/>
          <w:lang w:val="es-419"/>
        </w:rPr>
        <w:t xml:space="preserve">En cuanto a los procesos </w:t>
      </w:r>
      <w:r w:rsidR="0063376E" w:rsidRPr="002B428A">
        <w:rPr>
          <w:rFonts w:cs="Times New Roman"/>
          <w:lang w:val="es-419"/>
        </w:rPr>
        <w:t>en estado críticos como los cancelados (12%) y desiertos (8%) se evidencian posibles debilidades en la planificación o en la participación de oferentes. Finalmente, las terminaciones anticipadas son mínimas, como la de</w:t>
      </w:r>
      <w:r w:rsidRPr="002B428A">
        <w:rPr>
          <w:rFonts w:cs="Times New Roman"/>
          <w:lang w:val="es-419"/>
        </w:rPr>
        <w:t xml:space="preserve"> por mutuo acuerdo (</w:t>
      </w:r>
      <w:r w:rsidR="0063376E" w:rsidRPr="002B428A">
        <w:rPr>
          <w:rFonts w:cs="Times New Roman"/>
          <w:lang w:val="es-419"/>
        </w:rPr>
        <w:t>4</w:t>
      </w:r>
      <w:r w:rsidRPr="002B428A">
        <w:rPr>
          <w:rFonts w:cs="Times New Roman"/>
          <w:lang w:val="es-419"/>
        </w:rPr>
        <w:t>%) o de forma unilateral (</w:t>
      </w:r>
      <w:r w:rsidR="0063376E" w:rsidRPr="002B428A">
        <w:rPr>
          <w:rFonts w:cs="Times New Roman"/>
          <w:lang w:val="es-419"/>
        </w:rPr>
        <w:t>0</w:t>
      </w:r>
      <w:r w:rsidRPr="002B428A">
        <w:rPr>
          <w:rFonts w:cs="Times New Roman"/>
          <w:lang w:val="es-419"/>
        </w:rPr>
        <w:t xml:space="preserve">%), </w:t>
      </w:r>
      <w:r w:rsidR="0063376E" w:rsidRPr="002B428A">
        <w:rPr>
          <w:rFonts w:cs="Times New Roman"/>
          <w:lang w:val="es-419"/>
        </w:rPr>
        <w:t>lo que refleja una baja incidencia de conflictos contractuales formales en el periodo de estudio</w:t>
      </w:r>
      <w:r w:rsidR="0083448F">
        <w:rPr>
          <w:rFonts w:cs="Times New Roman"/>
          <w:lang w:val="es-419"/>
        </w:rPr>
        <w:t>.</w:t>
      </w:r>
    </w:p>
    <w:p w14:paraId="0EE7D9DB" w14:textId="62165CF7" w:rsidR="002D2C31" w:rsidRPr="002B428A" w:rsidRDefault="005A658B" w:rsidP="00DB4E8E">
      <w:pPr>
        <w:jc w:val="both"/>
        <w:rPr>
          <w:rFonts w:cs="Times New Roman"/>
          <w:b/>
          <w:sz w:val="28"/>
          <w:szCs w:val="28"/>
        </w:rPr>
      </w:pPr>
      <w:r>
        <w:rPr>
          <w:rFonts w:cs="Times New Roman"/>
          <w:b/>
          <w:sz w:val="28"/>
          <w:szCs w:val="28"/>
        </w:rPr>
        <w:t>4</w:t>
      </w:r>
      <w:r w:rsidR="00366307" w:rsidRPr="002B428A">
        <w:rPr>
          <w:rFonts w:cs="Times New Roman"/>
          <w:b/>
          <w:sz w:val="28"/>
          <w:szCs w:val="28"/>
        </w:rPr>
        <w:t>. DISCUSIÓN</w:t>
      </w:r>
    </w:p>
    <w:p w14:paraId="787CAEF9" w14:textId="0EFC1FE0" w:rsidR="004030BE" w:rsidRPr="002B428A" w:rsidRDefault="004030BE" w:rsidP="00DB4E8E">
      <w:pPr>
        <w:pStyle w:val="Sangradetextonormal"/>
        <w:spacing w:after="0"/>
        <w:ind w:left="0"/>
        <w:jc w:val="both"/>
        <w:rPr>
          <w:rFonts w:cs="Times New Roman"/>
        </w:rPr>
      </w:pPr>
      <w:r w:rsidRPr="002B428A">
        <w:rPr>
          <w:rFonts w:cs="Times New Roman"/>
        </w:rPr>
        <w:t>Al analizar los hallazgos de esta investigación, se evidencia una realidad preocupante en el GAD Municipal de Archidona, toda vez que persiste una brecha entre la normativa que regula la contratación pública y la ejecución de los procesos en la práctica. El hecho de que el 8% de los procedimientos de contratación hayan sido declarados desiertos no constituye un evento aislado, sino que refleja debilidades en la fase preparatoria, relacionadas con la elaboración, revisión y validación de la documentación requerida. En este sentido, los resultados coinciden con lo señalado por Ponce (2020), quien sostiene que las deficiencias en la planificación y en la preparación de los expedientes repercuten directamente en la eficiencia de la contratación pública. En el caso del GAD de Archidona, la ausencia de un procedimiento estandarizado para la elaboración y revisión de los documentos de la fase preparatoria genera observaciones recurrentes, retrabajos y retrasos en la tramitación de los procesos. En consecuencia, más que estandarizar los documentos en sí mismos, se hace necesario establecer lineamientos y procedimientos uniformes que orienten su elaboración conforme a la normativa vigente, fortaleciendo así la calidad de los expedientes y reduciendo el riesgo de que los procesos sean declarados desiertos.</w:t>
      </w:r>
    </w:p>
    <w:p w14:paraId="1DE88BC1" w14:textId="056012F9" w:rsidR="002D2C31" w:rsidRPr="002B428A" w:rsidRDefault="002D2C31" w:rsidP="00DB4E8E">
      <w:pPr>
        <w:pStyle w:val="Sangradetextonormal"/>
        <w:spacing w:after="0"/>
        <w:ind w:left="0"/>
        <w:jc w:val="both"/>
        <w:rPr>
          <w:rFonts w:cs="Times New Roman"/>
          <w:lang w:val="es-419"/>
        </w:rPr>
      </w:pPr>
      <w:r w:rsidRPr="002B428A">
        <w:rPr>
          <w:rFonts w:cs="Times New Roman"/>
          <w:lang w:val="es-419"/>
        </w:rPr>
        <w:t xml:space="preserve">Esta falta de agilidad se traduce en un impacto directo sobre los resultados tangibles para la comunidad, pues resulta alarmante que solo el </w:t>
      </w:r>
      <w:r w:rsidR="002F7272" w:rsidRPr="002B428A">
        <w:rPr>
          <w:rFonts w:cs="Times New Roman"/>
          <w:lang w:val="es-419"/>
        </w:rPr>
        <w:t>4</w:t>
      </w:r>
      <w:r w:rsidR="004030BE" w:rsidRPr="002B428A">
        <w:rPr>
          <w:rFonts w:cs="Times New Roman"/>
          <w:lang w:val="es-419"/>
        </w:rPr>
        <w:t>4</w:t>
      </w:r>
      <w:r w:rsidRPr="002B428A">
        <w:rPr>
          <w:rFonts w:cs="Times New Roman"/>
          <w:lang w:val="es-419"/>
        </w:rPr>
        <w:t>% de los proyectos logren llegar a su fase final</w:t>
      </w:r>
      <w:r w:rsidR="002F7272" w:rsidRPr="002B428A">
        <w:rPr>
          <w:rFonts w:cs="Times New Roman"/>
          <w:lang w:val="es-419"/>
        </w:rPr>
        <w:t>, aunque parezca un porcentaje alto no se demuestra eficiencia en el sistema</w:t>
      </w:r>
      <w:r w:rsidRPr="002B428A">
        <w:rPr>
          <w:rFonts w:cs="Times New Roman"/>
          <w:lang w:val="es-419"/>
        </w:rPr>
        <w:t>. Aquí es donde la teoría de la eficiencia de Chiavenato (2014) choca con la realidad del GAD; si la eficiencia es el uso óptimo de recursos para alcanzar metas, en Archidona el sistema parece estar diseñado para lo contrario. Como advirtieron Arens, Elder y Beasley (2016), un control interno que no se actualiza se convierte en una traba burocrática que genera duplicidad y retrasos, más que en una salvaguarda de los activos públicos.</w:t>
      </w:r>
    </w:p>
    <w:p w14:paraId="7D461AEA" w14:textId="39FC4775" w:rsidR="002D2C31" w:rsidRPr="002B428A" w:rsidRDefault="5F7EDF2C" w:rsidP="00DB4E8E">
      <w:pPr>
        <w:pStyle w:val="Sangradetextonormal"/>
        <w:spacing w:after="0"/>
        <w:ind w:left="0"/>
        <w:jc w:val="both"/>
        <w:rPr>
          <w:rFonts w:cs="Times New Roman"/>
          <w:lang w:val="es-419"/>
        </w:rPr>
      </w:pPr>
      <w:r w:rsidRPr="002B428A">
        <w:rPr>
          <w:rFonts w:cs="Times New Roman"/>
          <w:lang w:val="es-419"/>
        </w:rPr>
        <w:t xml:space="preserve">Otro punto que genera debate es la ineficacia de las capacitaciones actuales. A pesar de que los funcionarios rinden exámenes en el Portal de Compras Públicas, esto no se refleja en una mejora de los procesos. Este fenómeno le da la razón a Aguilar (2017) cuando sostiene que en contextos latinoamericanos la cultura organizacional suele ser más débil que la norma escrita; de nada sirve tener leyes modernas si la institución no tiene la capacidad real o el seguimiento necesario para implementarlas adecuadamente. En última instancia, la presencia de terminaciones unilaterales o por mutuo acuerdo, aunque menor en porcentaje, es un síntoma de conflictos que, como </w:t>
      </w:r>
      <w:commentRangeStart w:id="4"/>
      <w:r w:rsidRPr="002B428A">
        <w:rPr>
          <w:rFonts w:cs="Times New Roman"/>
          <w:lang w:val="es-419"/>
        </w:rPr>
        <w:t xml:space="preserve">señala </w:t>
      </w:r>
      <w:r w:rsidR="004030BE" w:rsidRPr="002B428A">
        <w:rPr>
          <w:rFonts w:cs="Times New Roman"/>
          <w:lang w:val="es-419"/>
        </w:rPr>
        <w:t>Calle &amp; Calderón</w:t>
      </w:r>
      <w:r w:rsidRPr="002B428A">
        <w:rPr>
          <w:rFonts w:cs="Times New Roman"/>
          <w:lang w:val="es-419"/>
        </w:rPr>
        <w:t xml:space="preserve"> (</w:t>
      </w:r>
      <w:r w:rsidR="004030BE" w:rsidRPr="002B428A">
        <w:rPr>
          <w:rFonts w:cs="Times New Roman"/>
          <w:lang w:val="es-419"/>
        </w:rPr>
        <w:t>2024</w:t>
      </w:r>
      <w:r w:rsidRPr="002B428A">
        <w:rPr>
          <w:rFonts w:cs="Times New Roman"/>
          <w:lang w:val="es-419"/>
        </w:rPr>
        <w:t>)</w:t>
      </w:r>
      <w:commentRangeEnd w:id="4"/>
      <w:r w:rsidR="002D2C31" w:rsidRPr="002B428A">
        <w:rPr>
          <w:rStyle w:val="Refdecomentario"/>
          <w:rFonts w:cs="Times New Roman"/>
          <w:sz w:val="24"/>
          <w:szCs w:val="22"/>
          <w:lang w:val="es-419"/>
        </w:rPr>
        <w:commentReference w:id="4"/>
      </w:r>
      <w:r w:rsidRPr="002B428A">
        <w:rPr>
          <w:rFonts w:cs="Times New Roman"/>
          <w:lang w:val="es-419"/>
        </w:rPr>
        <w:t xml:space="preserve">, </w:t>
      </w:r>
      <w:r w:rsidR="004030BE" w:rsidRPr="002B428A">
        <w:rPr>
          <w:rFonts w:cs="Times New Roman"/>
          <w:lang w:val="es-419"/>
        </w:rPr>
        <w:t>se originan y se desarrollan</w:t>
      </w:r>
      <w:r w:rsidRPr="002B428A">
        <w:rPr>
          <w:rFonts w:cs="Times New Roman"/>
          <w:lang w:val="es-419"/>
        </w:rPr>
        <w:t xml:space="preserve"> donde el cumplimiento normativo es frágil, </w:t>
      </w:r>
      <w:r w:rsidR="004030BE" w:rsidRPr="002B428A">
        <w:rPr>
          <w:rFonts w:cs="Times New Roman"/>
          <w:lang w:val="es-419"/>
        </w:rPr>
        <w:t xml:space="preserve">lo cual </w:t>
      </w:r>
      <w:r w:rsidRPr="002B428A">
        <w:rPr>
          <w:rFonts w:cs="Times New Roman"/>
          <w:lang w:val="es-419"/>
        </w:rPr>
        <w:t>pon</w:t>
      </w:r>
      <w:r w:rsidR="004030BE" w:rsidRPr="002B428A">
        <w:rPr>
          <w:rFonts w:cs="Times New Roman"/>
          <w:lang w:val="es-419"/>
        </w:rPr>
        <w:t>e</w:t>
      </w:r>
      <w:r w:rsidRPr="002B428A">
        <w:rPr>
          <w:rFonts w:cs="Times New Roman"/>
          <w:lang w:val="es-419"/>
        </w:rPr>
        <w:t xml:space="preserve"> en riesgo la transparencia y la confianza ciudadana.</w:t>
      </w:r>
    </w:p>
    <w:p w14:paraId="10DCC9CE" w14:textId="69A4428A" w:rsidR="00285600" w:rsidRPr="002B428A" w:rsidRDefault="005A658B" w:rsidP="00DB4E8E">
      <w:pPr>
        <w:pStyle w:val="Sangradetextonormal"/>
        <w:spacing w:after="0"/>
        <w:ind w:left="0"/>
        <w:jc w:val="both"/>
        <w:rPr>
          <w:rFonts w:cs="Times New Roman"/>
          <w:b/>
          <w:bCs/>
          <w:lang w:val="es-419"/>
        </w:rPr>
      </w:pPr>
      <w:r>
        <w:rPr>
          <w:rFonts w:cs="Times New Roman"/>
          <w:b/>
          <w:bCs/>
          <w:lang w:val="es-419"/>
        </w:rPr>
        <w:t>4</w:t>
      </w:r>
      <w:r w:rsidR="00285600" w:rsidRPr="002B428A">
        <w:rPr>
          <w:rFonts w:cs="Times New Roman"/>
          <w:b/>
          <w:bCs/>
          <w:lang w:val="es-419"/>
        </w:rPr>
        <w:t>.</w:t>
      </w:r>
      <w:r>
        <w:rPr>
          <w:rFonts w:cs="Times New Roman"/>
          <w:b/>
          <w:bCs/>
          <w:lang w:val="es-419"/>
        </w:rPr>
        <w:t>1</w:t>
      </w:r>
      <w:r w:rsidR="00285600" w:rsidRPr="002B428A">
        <w:rPr>
          <w:rFonts w:cs="Times New Roman"/>
          <w:b/>
          <w:bCs/>
          <w:lang w:val="es-419"/>
        </w:rPr>
        <w:t xml:space="preserve">. Propuesta </w:t>
      </w:r>
    </w:p>
    <w:p w14:paraId="2F228223" w14:textId="28F2A63D" w:rsidR="00285600" w:rsidRPr="002B428A" w:rsidRDefault="00285600" w:rsidP="00DB4E8E">
      <w:pPr>
        <w:pStyle w:val="Sangradetextonormal"/>
        <w:spacing w:after="0"/>
        <w:ind w:left="0"/>
        <w:jc w:val="both"/>
        <w:rPr>
          <w:rFonts w:eastAsia="SimSun" w:cs="Times New Roman"/>
          <w:szCs w:val="24"/>
          <w:lang w:val="es-419" w:eastAsia="zh-CN"/>
        </w:rPr>
      </w:pPr>
      <w:r w:rsidRPr="002B428A">
        <w:rPr>
          <w:rFonts w:eastAsia="SimSun" w:cs="Times New Roman"/>
          <w:szCs w:val="24"/>
          <w:lang w:val="es-419" w:eastAsia="zh-CN"/>
        </w:rPr>
        <w:t>Para fortalecer la gestión institucional y cerrar la brecha detectada entre la normativa y la práctica operativa, se presenta la siguiente propuesta orientada a optimizar la contratación pública en el GAD Municipal de Archidona.</w:t>
      </w:r>
    </w:p>
    <w:p w14:paraId="6BD477EF" w14:textId="77777777" w:rsidR="00285600" w:rsidRPr="002B428A" w:rsidRDefault="00285600" w:rsidP="00DB4E8E">
      <w:pPr>
        <w:pStyle w:val="Sangradetextonormal"/>
        <w:spacing w:after="0"/>
        <w:ind w:left="0"/>
        <w:jc w:val="both"/>
        <w:rPr>
          <w:rFonts w:eastAsia="SimSun" w:cs="Times New Roman"/>
          <w:szCs w:val="24"/>
          <w:lang w:val="es-MX" w:eastAsia="zh-CN"/>
        </w:rPr>
      </w:pPr>
      <w:r w:rsidRPr="002B428A">
        <w:rPr>
          <w:rFonts w:eastAsia="SimSun" w:cs="Times New Roman"/>
          <w:szCs w:val="24"/>
          <w:lang w:val="es-MX" w:eastAsia="zh-CN"/>
        </w:rPr>
        <w:t xml:space="preserve">Para transformar estas recomendaciones en una realidad institucional, el proyecto se ejecutará mediante una serie de acciones estratégicas divididas en tres fases operativas. La primera fase se centra en la estandarización normativa, donde un equipo técnico jurídico y de obras públicas se encargará de redactar y validar el Manual de Formatos Estándar para TDR y especificaciones técnicas en un plazo de dos meses. Esta acción busca atacar directamente el problema de los procesos desiertos y las revisiones redundantes que afectan la eficiencia. La segunda fase, que abarca el tercer y cuarto mes, consiste en el despliegue del Programa de Acompañamiento Técnico, sustituyendo la metodología de </w:t>
      </w:r>
      <w:proofErr w:type="spellStart"/>
      <w:r w:rsidRPr="002B428A">
        <w:rPr>
          <w:rFonts w:eastAsia="SimSun" w:cs="Times New Roman"/>
          <w:szCs w:val="24"/>
          <w:lang w:val="es-MX" w:eastAsia="zh-CN"/>
        </w:rPr>
        <w:t>autocapacitación</w:t>
      </w:r>
      <w:proofErr w:type="spellEnd"/>
      <w:r w:rsidRPr="002B428A">
        <w:rPr>
          <w:rFonts w:eastAsia="SimSun" w:cs="Times New Roman"/>
          <w:szCs w:val="24"/>
          <w:lang w:val="es-MX" w:eastAsia="zh-CN"/>
        </w:rPr>
        <w:t xml:space="preserve"> por talleres de simulación real donde los funcionarios construyan expedientes bajo supervisión experta. Finalmente, durante los meses cinco y seis, se procederá con el fortalecimiento tecnológico, mediante la configuración de un tablero de control digital que permita el monitoreo de hitos contractuales en tiempo real para evitar los cuellos de botella administrativos identificados en el estudio.</w:t>
      </w:r>
    </w:p>
    <w:p w14:paraId="5109FEC3" w14:textId="6F8592D4" w:rsidR="00285600" w:rsidRPr="002B428A" w:rsidRDefault="00285600" w:rsidP="00DB4E8E">
      <w:pPr>
        <w:pStyle w:val="Sangradetextonormal"/>
        <w:spacing w:after="0"/>
        <w:ind w:left="0"/>
        <w:jc w:val="both"/>
        <w:rPr>
          <w:rFonts w:eastAsia="SimSun" w:cs="Times New Roman"/>
          <w:szCs w:val="24"/>
          <w:lang w:val="es-MX" w:eastAsia="zh-CN"/>
        </w:rPr>
      </w:pPr>
      <w:r w:rsidRPr="002B428A">
        <w:rPr>
          <w:rFonts w:eastAsia="SimSun" w:cs="Times New Roman"/>
          <w:szCs w:val="24"/>
          <w:lang w:val="es-MX" w:eastAsia="zh-CN"/>
        </w:rPr>
        <w:t>El cronograma de implementación se estima en un periodo total de seis meses, es del caso que los dos primeros meses se dedicarán exclusivamente al diagnóstico profundo de los errores recurrentes en la base de datos y a la elaboración de los nuevos modelos documentales. El segundo trimestre se enfocará en la ejecución de los ciclos de capacitación práctica y en la puesta en marcha de las actualizaciones normativas internas. Este calendario permite que la institución absorba los cambios sin interrumpir la operatividad diaria, garantizando que el cumplimiento normativo se convierta en una práctica orgánica y no en una imposición burocrática adicional.</w:t>
      </w:r>
    </w:p>
    <w:p w14:paraId="46D7D083" w14:textId="400A695C" w:rsidR="00285600" w:rsidRPr="002B428A" w:rsidRDefault="00285600" w:rsidP="00DB4E8E">
      <w:pPr>
        <w:pStyle w:val="Textoindependiente"/>
      </w:pPr>
      <w:r w:rsidRPr="002B428A">
        <w:rPr>
          <w:b/>
          <w:bCs/>
        </w:rPr>
        <w:t>Tabla 2.</w:t>
      </w:r>
      <w:r w:rsidRPr="002B428A">
        <w:t xml:space="preserve"> </w:t>
      </w:r>
    </w:p>
    <w:p w14:paraId="11175300" w14:textId="23EBA45F" w:rsidR="00285600" w:rsidRPr="002B428A" w:rsidRDefault="00285600" w:rsidP="00DB4E8E">
      <w:pPr>
        <w:pStyle w:val="Textoindependiente"/>
        <w:rPr>
          <w:i/>
          <w:iCs/>
        </w:rPr>
      </w:pPr>
      <w:r w:rsidRPr="002B428A">
        <w:rPr>
          <w:i/>
          <w:iCs/>
        </w:rPr>
        <w:t>Cronograma de ejecución de la propuesta.</w:t>
      </w: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1923"/>
        <w:gridCol w:w="1677"/>
        <w:gridCol w:w="1677"/>
        <w:gridCol w:w="1677"/>
      </w:tblGrid>
      <w:tr w:rsidR="00285600" w:rsidRPr="002B428A" w14:paraId="2C9FB94D" w14:textId="77777777" w:rsidTr="00285600">
        <w:tc>
          <w:tcPr>
            <w:tcW w:w="1884" w:type="dxa"/>
            <w:tcBorders>
              <w:top w:val="single" w:sz="4" w:space="0" w:color="auto"/>
              <w:bottom w:val="single" w:sz="4" w:space="0" w:color="auto"/>
            </w:tcBorders>
          </w:tcPr>
          <w:p w14:paraId="696AC77A" w14:textId="618CBB5E" w:rsidR="00285600" w:rsidRPr="002B428A" w:rsidRDefault="00285600" w:rsidP="00DB4E8E">
            <w:pPr>
              <w:pStyle w:val="Sangradetextonormal"/>
              <w:spacing w:after="0"/>
              <w:ind w:left="0"/>
              <w:jc w:val="center"/>
              <w:rPr>
                <w:rFonts w:eastAsia="SimSun" w:cs="Times New Roman"/>
                <w:b/>
                <w:bCs/>
                <w:szCs w:val="24"/>
                <w:lang w:val="es-MX" w:eastAsia="zh-CN"/>
              </w:rPr>
            </w:pPr>
            <w:r w:rsidRPr="002B428A">
              <w:rPr>
                <w:rFonts w:eastAsia="SimSun" w:cs="Times New Roman"/>
                <w:b/>
                <w:bCs/>
                <w:szCs w:val="24"/>
                <w:lang w:val="es-MX" w:eastAsia="zh-CN"/>
              </w:rPr>
              <w:t>Fase</w:t>
            </w:r>
          </w:p>
        </w:tc>
        <w:tc>
          <w:tcPr>
            <w:tcW w:w="1923" w:type="dxa"/>
            <w:tcBorders>
              <w:top w:val="single" w:sz="4" w:space="0" w:color="auto"/>
              <w:bottom w:val="single" w:sz="4" w:space="0" w:color="auto"/>
            </w:tcBorders>
          </w:tcPr>
          <w:p w14:paraId="4073928D" w14:textId="27BEDD82" w:rsidR="00285600" w:rsidRPr="002B428A" w:rsidRDefault="00285600" w:rsidP="00DB4E8E">
            <w:pPr>
              <w:pStyle w:val="Sangradetextonormal"/>
              <w:spacing w:after="0"/>
              <w:ind w:left="0"/>
              <w:jc w:val="center"/>
              <w:rPr>
                <w:rFonts w:eastAsia="SimSun" w:cs="Times New Roman"/>
                <w:b/>
                <w:bCs/>
                <w:szCs w:val="24"/>
                <w:lang w:val="es-MX" w:eastAsia="zh-CN"/>
              </w:rPr>
            </w:pPr>
            <w:r w:rsidRPr="002B428A">
              <w:rPr>
                <w:rFonts w:eastAsia="SimSun" w:cs="Times New Roman"/>
                <w:b/>
                <w:bCs/>
                <w:szCs w:val="24"/>
                <w:lang w:val="es-MX" w:eastAsia="zh-CN"/>
              </w:rPr>
              <w:t>Actividad Principal</w:t>
            </w:r>
          </w:p>
        </w:tc>
        <w:tc>
          <w:tcPr>
            <w:tcW w:w="1677" w:type="dxa"/>
            <w:tcBorders>
              <w:top w:val="single" w:sz="4" w:space="0" w:color="auto"/>
              <w:bottom w:val="single" w:sz="4" w:space="0" w:color="auto"/>
            </w:tcBorders>
          </w:tcPr>
          <w:p w14:paraId="2CC9EF09" w14:textId="048C787A" w:rsidR="00285600" w:rsidRPr="002B428A" w:rsidRDefault="00285600" w:rsidP="00DB4E8E">
            <w:pPr>
              <w:pStyle w:val="Sangradetextonormal"/>
              <w:spacing w:after="0"/>
              <w:ind w:left="0"/>
              <w:jc w:val="center"/>
              <w:rPr>
                <w:rFonts w:eastAsia="SimSun" w:cs="Times New Roman"/>
                <w:b/>
                <w:bCs/>
                <w:szCs w:val="24"/>
                <w:lang w:val="es-MX" w:eastAsia="zh-CN"/>
              </w:rPr>
            </w:pPr>
            <w:r w:rsidRPr="002B428A">
              <w:rPr>
                <w:rFonts w:eastAsia="SimSun" w:cs="Times New Roman"/>
                <w:b/>
                <w:bCs/>
                <w:szCs w:val="24"/>
                <w:lang w:val="es-MX" w:eastAsia="zh-CN"/>
              </w:rPr>
              <w:t>Mes 1-2</w:t>
            </w:r>
          </w:p>
        </w:tc>
        <w:tc>
          <w:tcPr>
            <w:tcW w:w="1677" w:type="dxa"/>
            <w:tcBorders>
              <w:top w:val="single" w:sz="4" w:space="0" w:color="auto"/>
              <w:bottom w:val="single" w:sz="4" w:space="0" w:color="auto"/>
            </w:tcBorders>
          </w:tcPr>
          <w:p w14:paraId="59E3EE81" w14:textId="68793CD5" w:rsidR="00285600" w:rsidRPr="002B428A" w:rsidRDefault="00285600" w:rsidP="00DB4E8E">
            <w:pPr>
              <w:pStyle w:val="Sangradetextonormal"/>
              <w:spacing w:after="0"/>
              <w:ind w:left="0"/>
              <w:jc w:val="center"/>
              <w:rPr>
                <w:rFonts w:eastAsia="SimSun" w:cs="Times New Roman"/>
                <w:b/>
                <w:bCs/>
                <w:szCs w:val="24"/>
                <w:lang w:val="es-MX" w:eastAsia="zh-CN"/>
              </w:rPr>
            </w:pPr>
            <w:r w:rsidRPr="002B428A">
              <w:rPr>
                <w:rFonts w:eastAsia="SimSun" w:cs="Times New Roman"/>
                <w:b/>
                <w:bCs/>
                <w:szCs w:val="24"/>
                <w:lang w:val="es-MX" w:eastAsia="zh-CN"/>
              </w:rPr>
              <w:t>Mes 3-4</w:t>
            </w:r>
          </w:p>
        </w:tc>
        <w:tc>
          <w:tcPr>
            <w:tcW w:w="1677" w:type="dxa"/>
            <w:tcBorders>
              <w:top w:val="single" w:sz="4" w:space="0" w:color="auto"/>
              <w:bottom w:val="single" w:sz="4" w:space="0" w:color="auto"/>
            </w:tcBorders>
          </w:tcPr>
          <w:p w14:paraId="1841BA96" w14:textId="7E4447E4" w:rsidR="00285600" w:rsidRPr="002B428A" w:rsidRDefault="00285600" w:rsidP="00DB4E8E">
            <w:pPr>
              <w:pStyle w:val="Sangradetextonormal"/>
              <w:spacing w:after="0"/>
              <w:ind w:left="0"/>
              <w:jc w:val="center"/>
              <w:rPr>
                <w:rFonts w:eastAsia="SimSun" w:cs="Times New Roman"/>
                <w:b/>
                <w:bCs/>
                <w:szCs w:val="24"/>
                <w:lang w:val="es-MX" w:eastAsia="zh-CN"/>
              </w:rPr>
            </w:pPr>
            <w:r w:rsidRPr="002B428A">
              <w:rPr>
                <w:rFonts w:eastAsia="SimSun" w:cs="Times New Roman"/>
                <w:b/>
                <w:bCs/>
                <w:szCs w:val="24"/>
                <w:lang w:val="es-MX" w:eastAsia="zh-CN"/>
              </w:rPr>
              <w:t>Mes 5-6</w:t>
            </w:r>
          </w:p>
        </w:tc>
      </w:tr>
      <w:tr w:rsidR="00285600" w:rsidRPr="002B428A" w14:paraId="650779B7" w14:textId="77777777" w:rsidTr="00285600">
        <w:tc>
          <w:tcPr>
            <w:tcW w:w="1884" w:type="dxa"/>
            <w:tcBorders>
              <w:top w:val="single" w:sz="4" w:space="0" w:color="auto"/>
            </w:tcBorders>
          </w:tcPr>
          <w:p w14:paraId="06948A48" w14:textId="1D36C801" w:rsidR="00285600" w:rsidRPr="002B428A" w:rsidRDefault="00285600" w:rsidP="00DB4E8E">
            <w:pPr>
              <w:pStyle w:val="Sangradetextonormal"/>
              <w:spacing w:after="0"/>
              <w:ind w:left="0"/>
              <w:rPr>
                <w:rFonts w:eastAsia="SimSun" w:cs="Times New Roman"/>
                <w:szCs w:val="24"/>
                <w:lang w:val="es-MX" w:eastAsia="zh-CN"/>
              </w:rPr>
            </w:pPr>
            <w:r w:rsidRPr="002B428A">
              <w:rPr>
                <w:rFonts w:eastAsia="SimSun" w:cs="Times New Roman"/>
                <w:b/>
                <w:bCs/>
                <w:szCs w:val="24"/>
                <w:lang w:eastAsia="zh-CN"/>
              </w:rPr>
              <w:t>Fase 1: Estandarización</w:t>
            </w:r>
          </w:p>
        </w:tc>
        <w:tc>
          <w:tcPr>
            <w:tcW w:w="1923" w:type="dxa"/>
            <w:tcBorders>
              <w:top w:val="single" w:sz="4" w:space="0" w:color="auto"/>
            </w:tcBorders>
          </w:tcPr>
          <w:p w14:paraId="0B898E54" w14:textId="0FE84386" w:rsidR="00285600" w:rsidRPr="002B428A" w:rsidRDefault="00285600" w:rsidP="00DB4E8E">
            <w:pPr>
              <w:pStyle w:val="Sangradetextonormal"/>
              <w:spacing w:after="0"/>
              <w:ind w:left="0"/>
              <w:rPr>
                <w:rFonts w:eastAsia="SimSun" w:cs="Times New Roman"/>
                <w:szCs w:val="24"/>
                <w:lang w:val="es-MX" w:eastAsia="zh-CN"/>
              </w:rPr>
            </w:pPr>
            <w:r w:rsidRPr="002B428A">
              <w:rPr>
                <w:rFonts w:eastAsia="SimSun" w:cs="Times New Roman"/>
                <w:szCs w:val="24"/>
                <w:lang w:eastAsia="zh-CN"/>
              </w:rPr>
              <w:t>Diagnóstico de errores recurrentes y redacción del Manual de Formatos Estándar (TDR y especificaciones)</w:t>
            </w:r>
          </w:p>
        </w:tc>
        <w:tc>
          <w:tcPr>
            <w:tcW w:w="1677" w:type="dxa"/>
            <w:tcBorders>
              <w:top w:val="single" w:sz="4" w:space="0" w:color="auto"/>
            </w:tcBorders>
          </w:tcPr>
          <w:p w14:paraId="3725D966" w14:textId="7F08B0D9" w:rsidR="00285600" w:rsidRPr="002B428A" w:rsidRDefault="00285600" w:rsidP="00DB4E8E">
            <w:pPr>
              <w:pStyle w:val="Sangradetextonormal"/>
              <w:spacing w:after="0"/>
              <w:ind w:left="0"/>
              <w:rPr>
                <w:rFonts w:eastAsia="SimSun" w:cs="Times New Roman"/>
                <w:szCs w:val="24"/>
                <w:lang w:val="es-MX" w:eastAsia="zh-CN"/>
              </w:rPr>
            </w:pPr>
            <w:r w:rsidRPr="002B428A">
              <w:rPr>
                <w:rFonts w:eastAsia="SimSun" w:cs="Times New Roman"/>
                <w:szCs w:val="24"/>
                <w:lang w:val="es-MX" w:eastAsia="zh-CN"/>
              </w:rPr>
              <w:t xml:space="preserve">X </w:t>
            </w:r>
          </w:p>
        </w:tc>
        <w:tc>
          <w:tcPr>
            <w:tcW w:w="1677" w:type="dxa"/>
            <w:tcBorders>
              <w:top w:val="single" w:sz="4" w:space="0" w:color="auto"/>
            </w:tcBorders>
          </w:tcPr>
          <w:p w14:paraId="4211F053" w14:textId="77777777" w:rsidR="00285600" w:rsidRPr="002B428A" w:rsidRDefault="00285600" w:rsidP="00DB4E8E">
            <w:pPr>
              <w:pStyle w:val="Sangradetextonormal"/>
              <w:spacing w:after="0"/>
              <w:ind w:left="0"/>
              <w:rPr>
                <w:rFonts w:eastAsia="SimSun" w:cs="Times New Roman"/>
                <w:szCs w:val="24"/>
                <w:lang w:val="es-MX" w:eastAsia="zh-CN"/>
              </w:rPr>
            </w:pPr>
          </w:p>
        </w:tc>
        <w:tc>
          <w:tcPr>
            <w:tcW w:w="1677" w:type="dxa"/>
            <w:tcBorders>
              <w:top w:val="single" w:sz="4" w:space="0" w:color="auto"/>
            </w:tcBorders>
          </w:tcPr>
          <w:p w14:paraId="453D8AED" w14:textId="77777777" w:rsidR="00285600" w:rsidRPr="002B428A" w:rsidRDefault="00285600" w:rsidP="00DB4E8E">
            <w:pPr>
              <w:pStyle w:val="Sangradetextonormal"/>
              <w:spacing w:after="0"/>
              <w:ind w:left="0"/>
              <w:rPr>
                <w:rFonts w:eastAsia="SimSun" w:cs="Times New Roman"/>
                <w:szCs w:val="24"/>
                <w:lang w:val="es-MX" w:eastAsia="zh-CN"/>
              </w:rPr>
            </w:pPr>
          </w:p>
        </w:tc>
      </w:tr>
      <w:tr w:rsidR="00285600" w:rsidRPr="002B428A" w14:paraId="780FDA57" w14:textId="77777777" w:rsidTr="00285600">
        <w:tc>
          <w:tcPr>
            <w:tcW w:w="1884" w:type="dxa"/>
          </w:tcPr>
          <w:p w14:paraId="6AD55697" w14:textId="7D85AE38" w:rsidR="00285600" w:rsidRPr="002B428A" w:rsidRDefault="00285600" w:rsidP="00DB4E8E">
            <w:pPr>
              <w:pStyle w:val="Sangradetextonormal"/>
              <w:spacing w:after="0"/>
              <w:ind w:left="0"/>
              <w:rPr>
                <w:rFonts w:eastAsia="SimSun" w:cs="Times New Roman"/>
                <w:szCs w:val="24"/>
                <w:lang w:val="es-MX" w:eastAsia="zh-CN"/>
              </w:rPr>
            </w:pPr>
            <w:r w:rsidRPr="002B428A">
              <w:rPr>
                <w:rFonts w:eastAsia="SimSun" w:cs="Times New Roman"/>
                <w:b/>
                <w:bCs/>
                <w:szCs w:val="24"/>
                <w:lang w:eastAsia="zh-CN"/>
              </w:rPr>
              <w:t>Fase 2: Capacitación</w:t>
            </w:r>
          </w:p>
        </w:tc>
        <w:tc>
          <w:tcPr>
            <w:tcW w:w="1923" w:type="dxa"/>
          </w:tcPr>
          <w:p w14:paraId="1567DB64" w14:textId="62580C8F" w:rsidR="00285600" w:rsidRPr="002B428A" w:rsidRDefault="00285600" w:rsidP="00DB4E8E">
            <w:pPr>
              <w:pStyle w:val="Sangradetextonormal"/>
              <w:spacing w:after="0"/>
              <w:ind w:left="0"/>
              <w:rPr>
                <w:rFonts w:eastAsia="SimSun" w:cs="Times New Roman"/>
                <w:szCs w:val="24"/>
                <w:lang w:val="es-MX" w:eastAsia="zh-CN"/>
              </w:rPr>
            </w:pPr>
            <w:r w:rsidRPr="002B428A">
              <w:rPr>
                <w:rFonts w:eastAsia="SimSun" w:cs="Times New Roman"/>
                <w:szCs w:val="24"/>
                <w:lang w:eastAsia="zh-CN"/>
              </w:rPr>
              <w:t>Ejecución del Programa de Acompañamiento Técnico mediante talleres prácticos de elaboración de expediente</w:t>
            </w:r>
          </w:p>
        </w:tc>
        <w:tc>
          <w:tcPr>
            <w:tcW w:w="1677" w:type="dxa"/>
          </w:tcPr>
          <w:p w14:paraId="4C583A9C" w14:textId="77777777" w:rsidR="00285600" w:rsidRPr="002B428A" w:rsidRDefault="00285600" w:rsidP="00DB4E8E">
            <w:pPr>
              <w:pStyle w:val="Sangradetextonormal"/>
              <w:spacing w:after="0"/>
              <w:ind w:left="0"/>
              <w:rPr>
                <w:rFonts w:eastAsia="SimSun" w:cs="Times New Roman"/>
                <w:szCs w:val="24"/>
                <w:lang w:val="es-MX" w:eastAsia="zh-CN"/>
              </w:rPr>
            </w:pPr>
          </w:p>
        </w:tc>
        <w:tc>
          <w:tcPr>
            <w:tcW w:w="1677" w:type="dxa"/>
          </w:tcPr>
          <w:p w14:paraId="6FCD3DBF" w14:textId="054E57A8" w:rsidR="00285600" w:rsidRPr="002B428A" w:rsidRDefault="00285600" w:rsidP="00DB4E8E">
            <w:pPr>
              <w:pStyle w:val="Sangradetextonormal"/>
              <w:spacing w:after="0"/>
              <w:ind w:left="0"/>
              <w:rPr>
                <w:rFonts w:eastAsia="SimSun" w:cs="Times New Roman"/>
                <w:szCs w:val="24"/>
                <w:lang w:val="es-MX" w:eastAsia="zh-CN"/>
              </w:rPr>
            </w:pPr>
            <w:r w:rsidRPr="002B428A">
              <w:rPr>
                <w:rFonts w:eastAsia="SimSun" w:cs="Times New Roman"/>
                <w:szCs w:val="24"/>
                <w:lang w:val="es-MX" w:eastAsia="zh-CN"/>
              </w:rPr>
              <w:t xml:space="preserve">X </w:t>
            </w:r>
          </w:p>
        </w:tc>
        <w:tc>
          <w:tcPr>
            <w:tcW w:w="1677" w:type="dxa"/>
          </w:tcPr>
          <w:p w14:paraId="2FC6C8BD" w14:textId="77777777" w:rsidR="00285600" w:rsidRPr="002B428A" w:rsidRDefault="00285600" w:rsidP="00DB4E8E">
            <w:pPr>
              <w:pStyle w:val="Sangradetextonormal"/>
              <w:spacing w:after="0"/>
              <w:ind w:left="0"/>
              <w:rPr>
                <w:rFonts w:eastAsia="SimSun" w:cs="Times New Roman"/>
                <w:szCs w:val="24"/>
                <w:lang w:val="es-MX" w:eastAsia="zh-CN"/>
              </w:rPr>
            </w:pPr>
          </w:p>
        </w:tc>
      </w:tr>
      <w:tr w:rsidR="00285600" w:rsidRPr="002B428A" w14:paraId="05662894" w14:textId="77777777" w:rsidTr="00285600">
        <w:tc>
          <w:tcPr>
            <w:tcW w:w="1884" w:type="dxa"/>
          </w:tcPr>
          <w:p w14:paraId="13383A16" w14:textId="1F1D6E20" w:rsidR="00285600" w:rsidRPr="002B428A" w:rsidRDefault="00285600" w:rsidP="00DB4E8E">
            <w:pPr>
              <w:pStyle w:val="Sangradetextonormal"/>
              <w:spacing w:after="0"/>
              <w:ind w:left="0"/>
              <w:rPr>
                <w:rFonts w:eastAsia="SimSun" w:cs="Times New Roman"/>
                <w:szCs w:val="24"/>
                <w:lang w:val="es-MX" w:eastAsia="zh-CN"/>
              </w:rPr>
            </w:pPr>
            <w:r w:rsidRPr="002B428A">
              <w:rPr>
                <w:rFonts w:eastAsia="SimSun" w:cs="Times New Roman"/>
                <w:b/>
                <w:bCs/>
                <w:szCs w:val="24"/>
                <w:lang w:eastAsia="zh-CN"/>
              </w:rPr>
              <w:t>Fase 3: Tecnología</w:t>
            </w:r>
          </w:p>
        </w:tc>
        <w:tc>
          <w:tcPr>
            <w:tcW w:w="1923" w:type="dxa"/>
          </w:tcPr>
          <w:p w14:paraId="6F1928D8" w14:textId="2F227A2F" w:rsidR="00285600" w:rsidRPr="002B428A" w:rsidRDefault="00285600" w:rsidP="00DB4E8E">
            <w:pPr>
              <w:pStyle w:val="Sangradetextonormal"/>
              <w:spacing w:after="0"/>
              <w:ind w:left="0"/>
              <w:rPr>
                <w:rFonts w:eastAsia="SimSun" w:cs="Times New Roman"/>
                <w:szCs w:val="24"/>
                <w:lang w:val="es-MX" w:eastAsia="zh-CN"/>
              </w:rPr>
            </w:pPr>
            <w:r w:rsidRPr="002B428A">
              <w:rPr>
                <w:rFonts w:eastAsia="SimSun" w:cs="Times New Roman"/>
                <w:szCs w:val="24"/>
                <w:lang w:eastAsia="zh-CN"/>
              </w:rPr>
              <w:t>Implementación y configuración del Tablero de Control Digital para monitoreo de hitos contractuales</w:t>
            </w:r>
          </w:p>
        </w:tc>
        <w:tc>
          <w:tcPr>
            <w:tcW w:w="1677" w:type="dxa"/>
          </w:tcPr>
          <w:p w14:paraId="3340D1EB" w14:textId="77777777" w:rsidR="00285600" w:rsidRPr="002B428A" w:rsidRDefault="00285600" w:rsidP="00DB4E8E">
            <w:pPr>
              <w:pStyle w:val="Sangradetextonormal"/>
              <w:spacing w:after="0"/>
              <w:ind w:left="0"/>
              <w:rPr>
                <w:rFonts w:eastAsia="SimSun" w:cs="Times New Roman"/>
                <w:szCs w:val="24"/>
                <w:lang w:val="es-MX" w:eastAsia="zh-CN"/>
              </w:rPr>
            </w:pPr>
          </w:p>
        </w:tc>
        <w:tc>
          <w:tcPr>
            <w:tcW w:w="1677" w:type="dxa"/>
          </w:tcPr>
          <w:p w14:paraId="58C1EA21" w14:textId="77777777" w:rsidR="00285600" w:rsidRPr="002B428A" w:rsidRDefault="00285600" w:rsidP="00DB4E8E">
            <w:pPr>
              <w:pStyle w:val="Sangradetextonormal"/>
              <w:spacing w:after="0"/>
              <w:ind w:left="0"/>
              <w:rPr>
                <w:rFonts w:eastAsia="SimSun" w:cs="Times New Roman"/>
                <w:szCs w:val="24"/>
                <w:lang w:val="es-MX" w:eastAsia="zh-CN"/>
              </w:rPr>
            </w:pPr>
          </w:p>
        </w:tc>
        <w:tc>
          <w:tcPr>
            <w:tcW w:w="1677" w:type="dxa"/>
          </w:tcPr>
          <w:p w14:paraId="223FD1F3" w14:textId="6ADF924E" w:rsidR="00285600" w:rsidRPr="002B428A" w:rsidRDefault="00285600" w:rsidP="00DB4E8E">
            <w:pPr>
              <w:pStyle w:val="Sangradetextonormal"/>
              <w:spacing w:after="0"/>
              <w:ind w:left="0"/>
              <w:rPr>
                <w:rFonts w:eastAsia="SimSun" w:cs="Times New Roman"/>
                <w:szCs w:val="24"/>
                <w:lang w:val="es-MX" w:eastAsia="zh-CN"/>
              </w:rPr>
            </w:pPr>
            <w:r w:rsidRPr="002B428A">
              <w:rPr>
                <w:rFonts w:eastAsia="SimSun" w:cs="Times New Roman"/>
                <w:szCs w:val="24"/>
                <w:lang w:val="es-MX" w:eastAsia="zh-CN"/>
              </w:rPr>
              <w:t xml:space="preserve">X </w:t>
            </w:r>
          </w:p>
        </w:tc>
      </w:tr>
      <w:tr w:rsidR="00285600" w:rsidRPr="002B428A" w14:paraId="580EA291" w14:textId="77777777" w:rsidTr="00285600">
        <w:tc>
          <w:tcPr>
            <w:tcW w:w="1884" w:type="dxa"/>
          </w:tcPr>
          <w:p w14:paraId="3B2F6C50" w14:textId="4A240AE9" w:rsidR="00285600" w:rsidRPr="002B428A" w:rsidRDefault="00285600" w:rsidP="00DB4E8E">
            <w:pPr>
              <w:pStyle w:val="Sangradetextonormal"/>
              <w:spacing w:after="0"/>
              <w:ind w:left="0"/>
              <w:rPr>
                <w:rFonts w:eastAsia="SimSun" w:cs="Times New Roman"/>
                <w:szCs w:val="24"/>
                <w:lang w:val="es-MX" w:eastAsia="zh-CN"/>
              </w:rPr>
            </w:pPr>
            <w:r w:rsidRPr="002B428A">
              <w:rPr>
                <w:rFonts w:eastAsia="SimSun" w:cs="Times New Roman"/>
                <w:b/>
                <w:bCs/>
                <w:szCs w:val="24"/>
                <w:lang w:eastAsia="zh-CN"/>
              </w:rPr>
              <w:t>Fase 4: Evaluación</w:t>
            </w:r>
          </w:p>
        </w:tc>
        <w:tc>
          <w:tcPr>
            <w:tcW w:w="1923" w:type="dxa"/>
          </w:tcPr>
          <w:p w14:paraId="255B1BE5" w14:textId="18FC62D6" w:rsidR="00285600" w:rsidRPr="002B428A" w:rsidRDefault="00285600" w:rsidP="00DB4E8E">
            <w:pPr>
              <w:pStyle w:val="Sangradetextonormal"/>
              <w:spacing w:after="0"/>
              <w:ind w:left="0"/>
              <w:rPr>
                <w:rFonts w:eastAsia="SimSun" w:cs="Times New Roman"/>
                <w:szCs w:val="24"/>
                <w:lang w:val="es-MX" w:eastAsia="zh-CN"/>
              </w:rPr>
            </w:pPr>
            <w:r w:rsidRPr="002B428A">
              <w:rPr>
                <w:rFonts w:eastAsia="SimSun" w:cs="Times New Roman"/>
                <w:szCs w:val="24"/>
                <w:lang w:eastAsia="zh-CN"/>
              </w:rPr>
              <w:t>Medición de indicadores de eficiencia y cierre del proyecto de mejora</w:t>
            </w:r>
          </w:p>
        </w:tc>
        <w:tc>
          <w:tcPr>
            <w:tcW w:w="1677" w:type="dxa"/>
          </w:tcPr>
          <w:p w14:paraId="3349EA12" w14:textId="77777777" w:rsidR="00285600" w:rsidRPr="002B428A" w:rsidRDefault="00285600" w:rsidP="00DB4E8E">
            <w:pPr>
              <w:pStyle w:val="Sangradetextonormal"/>
              <w:spacing w:after="0"/>
              <w:ind w:left="0"/>
              <w:rPr>
                <w:rFonts w:eastAsia="SimSun" w:cs="Times New Roman"/>
                <w:szCs w:val="24"/>
                <w:lang w:val="es-MX" w:eastAsia="zh-CN"/>
              </w:rPr>
            </w:pPr>
          </w:p>
        </w:tc>
        <w:tc>
          <w:tcPr>
            <w:tcW w:w="1677" w:type="dxa"/>
          </w:tcPr>
          <w:p w14:paraId="35A59220" w14:textId="77777777" w:rsidR="00285600" w:rsidRPr="002B428A" w:rsidRDefault="00285600" w:rsidP="00DB4E8E">
            <w:pPr>
              <w:pStyle w:val="Sangradetextonormal"/>
              <w:spacing w:after="0"/>
              <w:ind w:left="0"/>
              <w:rPr>
                <w:rFonts w:eastAsia="SimSun" w:cs="Times New Roman"/>
                <w:szCs w:val="24"/>
                <w:lang w:val="es-MX" w:eastAsia="zh-CN"/>
              </w:rPr>
            </w:pPr>
          </w:p>
        </w:tc>
        <w:tc>
          <w:tcPr>
            <w:tcW w:w="1677" w:type="dxa"/>
          </w:tcPr>
          <w:p w14:paraId="2BE3AA72" w14:textId="0D78445E" w:rsidR="00285600" w:rsidRPr="002B428A" w:rsidRDefault="00285600" w:rsidP="00DB4E8E">
            <w:pPr>
              <w:pStyle w:val="Sangradetextonormal"/>
              <w:spacing w:after="0"/>
              <w:ind w:left="0"/>
              <w:rPr>
                <w:rFonts w:eastAsia="SimSun" w:cs="Times New Roman"/>
                <w:szCs w:val="24"/>
                <w:lang w:val="es-MX" w:eastAsia="zh-CN"/>
              </w:rPr>
            </w:pPr>
            <w:r w:rsidRPr="002B428A">
              <w:rPr>
                <w:rFonts w:eastAsia="SimSun" w:cs="Times New Roman"/>
                <w:szCs w:val="24"/>
                <w:lang w:val="es-MX" w:eastAsia="zh-CN"/>
              </w:rPr>
              <w:t xml:space="preserve">X </w:t>
            </w:r>
          </w:p>
        </w:tc>
      </w:tr>
    </w:tbl>
    <w:p w14:paraId="7F7B6B73" w14:textId="5ED510E9" w:rsidR="00285600" w:rsidRPr="002B428A" w:rsidRDefault="00285600" w:rsidP="00DB4E8E">
      <w:pPr>
        <w:rPr>
          <w:rFonts w:cs="Times New Roman"/>
        </w:rPr>
      </w:pPr>
      <w:r w:rsidRPr="002B428A">
        <w:rPr>
          <w:rFonts w:cs="Times New Roman"/>
          <w:b/>
          <w:bCs/>
          <w:i/>
          <w:iCs/>
          <w:szCs w:val="24"/>
        </w:rPr>
        <w:t xml:space="preserve">Nota. </w:t>
      </w:r>
      <w:r w:rsidRPr="002B428A">
        <w:rPr>
          <w:rFonts w:cs="Times New Roman"/>
          <w:i/>
          <w:iCs/>
          <w:szCs w:val="24"/>
        </w:rPr>
        <w:t>La tabla muestra la distribución de las etapas de ejecución de la propuesta como solución a la problemática del estudio. Elaboración propia</w:t>
      </w:r>
      <w:r w:rsidR="0076481F" w:rsidRPr="002B428A">
        <w:rPr>
          <w:rFonts w:cs="Times New Roman"/>
          <w:i/>
          <w:iCs/>
          <w:szCs w:val="24"/>
        </w:rPr>
        <w:t>.</w:t>
      </w:r>
    </w:p>
    <w:p w14:paraId="2C6DF9D5" w14:textId="74B6C236" w:rsidR="0076481F" w:rsidRPr="002B428A" w:rsidRDefault="00285600" w:rsidP="00DB4E8E">
      <w:pPr>
        <w:pStyle w:val="Sangradetextonormal"/>
        <w:spacing w:after="0"/>
        <w:ind w:left="0"/>
        <w:jc w:val="both"/>
        <w:rPr>
          <w:rFonts w:eastAsia="SimSun" w:cs="Times New Roman"/>
          <w:szCs w:val="24"/>
          <w:lang w:val="es-MX" w:eastAsia="zh-CN"/>
        </w:rPr>
      </w:pPr>
      <w:r w:rsidRPr="002B428A">
        <w:rPr>
          <w:rFonts w:eastAsia="SimSun" w:cs="Times New Roman"/>
          <w:szCs w:val="24"/>
          <w:lang w:val="es-MX" w:eastAsia="zh-CN"/>
        </w:rPr>
        <w:t>En cuanto a la estimación presupuestaria, se requiere una inversión inicial moderada que se justifica plenamente frente a los altos costos operativos de los procesos fallidos o desiertos. El presupuesto se desglosa en tres rubros principales: servicios profesionales para consultoría externa especializada en contratación pública y redacción de manuales técnicos, lo cual representa aproximadamente el 60% del costo total. Un 25% se destinará al desarrollo o adquisición de la licencia del sistema de monitoreo digital y el 15% restante cubrirá la logística de las sesiones de capacitación práctica y materiales de soporte técnico. Esta inversión no debe verse como un gasto, sino como un mecanismo de ahorro institucional que, al elevar la tasa de finalización de obras por encima del actual 41.7%, optimizará el uso de los recursos públicos y blindará legalmente a la municipalidad ante posibles sanciones o conflictos contractuales</w:t>
      </w:r>
      <w:r w:rsidR="0076481F" w:rsidRPr="002B428A">
        <w:rPr>
          <w:rFonts w:eastAsia="SimSun" w:cs="Times New Roman"/>
          <w:szCs w:val="24"/>
          <w:lang w:val="es-MX" w:eastAsia="zh-CN"/>
        </w:rPr>
        <w:t>.</w:t>
      </w:r>
    </w:p>
    <w:p w14:paraId="68A018EC" w14:textId="65CDE6BE" w:rsidR="0076481F" w:rsidRPr="002B428A" w:rsidRDefault="0076481F" w:rsidP="00DB4E8E">
      <w:pPr>
        <w:pStyle w:val="Textoindependiente"/>
      </w:pPr>
      <w:r w:rsidRPr="002B428A">
        <w:rPr>
          <w:b/>
          <w:bCs/>
        </w:rPr>
        <w:t>Tabla 3.</w:t>
      </w:r>
      <w:r w:rsidRPr="002B428A">
        <w:t xml:space="preserve"> </w:t>
      </w:r>
    </w:p>
    <w:p w14:paraId="26F38E20" w14:textId="5FA6B0D8" w:rsidR="0076481F" w:rsidRPr="002B428A" w:rsidRDefault="0076481F" w:rsidP="00DB4E8E">
      <w:pPr>
        <w:pStyle w:val="Textoindependiente"/>
        <w:rPr>
          <w:i/>
          <w:iCs/>
        </w:rPr>
      </w:pPr>
      <w:r w:rsidRPr="002B428A">
        <w:rPr>
          <w:i/>
          <w:iCs/>
        </w:rPr>
        <w:t>Presupuesto de la propuesta.</w:t>
      </w:r>
    </w:p>
    <w:tbl>
      <w:tblPr>
        <w:tblStyle w:val="Tablaconcuadrcula"/>
        <w:tblW w:w="0" w:type="auto"/>
        <w:tblInd w:w="14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2895"/>
        <w:gridCol w:w="2900"/>
      </w:tblGrid>
      <w:tr w:rsidR="0076481F" w:rsidRPr="002B428A" w14:paraId="72183112" w14:textId="77777777" w:rsidTr="0076481F">
        <w:tc>
          <w:tcPr>
            <w:tcW w:w="2891" w:type="dxa"/>
            <w:tcBorders>
              <w:top w:val="single" w:sz="4" w:space="0" w:color="auto"/>
              <w:bottom w:val="single" w:sz="4" w:space="0" w:color="auto"/>
            </w:tcBorders>
          </w:tcPr>
          <w:p w14:paraId="1428967F" w14:textId="26D4D8B6" w:rsidR="0076481F" w:rsidRPr="002B428A" w:rsidRDefault="0076481F" w:rsidP="00DB4E8E">
            <w:pPr>
              <w:pStyle w:val="Sangradetextonormal"/>
              <w:spacing w:after="0"/>
              <w:ind w:left="0"/>
              <w:jc w:val="both"/>
              <w:rPr>
                <w:rFonts w:eastAsia="SimSun" w:cs="Times New Roman"/>
                <w:b/>
                <w:bCs/>
                <w:szCs w:val="24"/>
                <w:lang w:val="es-MX" w:eastAsia="zh-CN"/>
              </w:rPr>
            </w:pPr>
            <w:r w:rsidRPr="002B428A">
              <w:rPr>
                <w:rFonts w:eastAsia="SimSun" w:cs="Times New Roman"/>
                <w:b/>
                <w:bCs/>
                <w:szCs w:val="24"/>
                <w:lang w:val="es-MX" w:eastAsia="zh-CN"/>
              </w:rPr>
              <w:t>Rubro</w:t>
            </w:r>
          </w:p>
        </w:tc>
        <w:tc>
          <w:tcPr>
            <w:tcW w:w="2895" w:type="dxa"/>
            <w:tcBorders>
              <w:top w:val="single" w:sz="4" w:space="0" w:color="auto"/>
              <w:bottom w:val="single" w:sz="4" w:space="0" w:color="auto"/>
            </w:tcBorders>
          </w:tcPr>
          <w:p w14:paraId="7422338A" w14:textId="79324C65" w:rsidR="0076481F" w:rsidRPr="002B428A" w:rsidRDefault="0076481F" w:rsidP="00DB4E8E">
            <w:pPr>
              <w:pStyle w:val="Sangradetextonormal"/>
              <w:spacing w:after="0"/>
              <w:ind w:left="0"/>
              <w:jc w:val="both"/>
              <w:rPr>
                <w:rFonts w:eastAsia="SimSun" w:cs="Times New Roman"/>
                <w:b/>
                <w:bCs/>
                <w:szCs w:val="24"/>
                <w:lang w:val="es-MX" w:eastAsia="zh-CN"/>
              </w:rPr>
            </w:pPr>
            <w:r w:rsidRPr="002B428A">
              <w:rPr>
                <w:rFonts w:eastAsia="SimSun" w:cs="Times New Roman"/>
                <w:b/>
                <w:bCs/>
                <w:szCs w:val="24"/>
                <w:lang w:val="es-MX" w:eastAsia="zh-CN"/>
              </w:rPr>
              <w:t>Detalle</w:t>
            </w:r>
          </w:p>
        </w:tc>
        <w:tc>
          <w:tcPr>
            <w:tcW w:w="2900" w:type="dxa"/>
            <w:tcBorders>
              <w:top w:val="single" w:sz="4" w:space="0" w:color="auto"/>
              <w:bottom w:val="single" w:sz="4" w:space="0" w:color="auto"/>
            </w:tcBorders>
          </w:tcPr>
          <w:p w14:paraId="5F20382E" w14:textId="3B891EEC" w:rsidR="0076481F" w:rsidRPr="002B428A" w:rsidRDefault="0076481F" w:rsidP="00DB4E8E">
            <w:pPr>
              <w:pStyle w:val="Sangradetextonormal"/>
              <w:spacing w:after="0"/>
              <w:ind w:left="0"/>
              <w:jc w:val="both"/>
              <w:rPr>
                <w:rFonts w:eastAsia="SimSun" w:cs="Times New Roman"/>
                <w:b/>
                <w:bCs/>
                <w:szCs w:val="24"/>
                <w:lang w:val="es-MX" w:eastAsia="zh-CN"/>
              </w:rPr>
            </w:pPr>
            <w:r w:rsidRPr="002B428A">
              <w:rPr>
                <w:rFonts w:eastAsia="SimSun" w:cs="Times New Roman"/>
                <w:b/>
                <w:bCs/>
                <w:szCs w:val="24"/>
                <w:lang w:val="es-MX" w:eastAsia="zh-CN"/>
              </w:rPr>
              <w:t>Inversión</w:t>
            </w:r>
          </w:p>
        </w:tc>
      </w:tr>
      <w:tr w:rsidR="0076481F" w:rsidRPr="002B428A" w14:paraId="719B436F" w14:textId="77777777" w:rsidTr="0076481F">
        <w:tc>
          <w:tcPr>
            <w:tcW w:w="2891" w:type="dxa"/>
            <w:tcBorders>
              <w:top w:val="single" w:sz="4" w:space="0" w:color="auto"/>
            </w:tcBorders>
          </w:tcPr>
          <w:p w14:paraId="251F831D" w14:textId="0EC2F1FA" w:rsidR="0076481F" w:rsidRPr="002B428A" w:rsidRDefault="0076481F" w:rsidP="00DB4E8E">
            <w:pPr>
              <w:pStyle w:val="Sangradetextonormal"/>
              <w:spacing w:after="0"/>
              <w:ind w:left="0"/>
              <w:rPr>
                <w:rFonts w:eastAsia="SimSun" w:cs="Times New Roman"/>
                <w:szCs w:val="24"/>
                <w:lang w:val="es-MX" w:eastAsia="zh-CN"/>
              </w:rPr>
            </w:pPr>
            <w:r w:rsidRPr="002B428A">
              <w:rPr>
                <w:rFonts w:cs="Times New Roman"/>
                <w:b/>
                <w:bCs/>
                <w:color w:val="303030"/>
                <w:szCs w:val="24"/>
              </w:rPr>
              <w:t>Consultoría Especializada</w:t>
            </w:r>
          </w:p>
        </w:tc>
        <w:tc>
          <w:tcPr>
            <w:tcW w:w="2895" w:type="dxa"/>
            <w:tcBorders>
              <w:top w:val="single" w:sz="4" w:space="0" w:color="auto"/>
            </w:tcBorders>
          </w:tcPr>
          <w:p w14:paraId="44F5C7E0" w14:textId="67C9BB6A" w:rsidR="0076481F" w:rsidRPr="002B428A" w:rsidRDefault="0076481F" w:rsidP="00DB4E8E">
            <w:pPr>
              <w:pStyle w:val="Sangradetextonormal"/>
              <w:spacing w:after="0"/>
              <w:ind w:left="0"/>
              <w:rPr>
                <w:rFonts w:eastAsia="SimSun" w:cs="Times New Roman"/>
                <w:szCs w:val="24"/>
                <w:lang w:val="es-MX" w:eastAsia="zh-CN"/>
              </w:rPr>
            </w:pPr>
            <w:r w:rsidRPr="002B428A">
              <w:rPr>
                <w:rStyle w:val="ng-star-inserted"/>
                <w:rFonts w:cs="Times New Roman"/>
                <w:color w:val="303030"/>
                <w:szCs w:val="24"/>
              </w:rPr>
              <w:t>Contratación de expertos para el diseño del Manual de Estandarización de TDR y actualización de normativa interna.</w:t>
            </w:r>
          </w:p>
        </w:tc>
        <w:tc>
          <w:tcPr>
            <w:tcW w:w="2900" w:type="dxa"/>
            <w:tcBorders>
              <w:top w:val="single" w:sz="4" w:space="0" w:color="auto"/>
            </w:tcBorders>
          </w:tcPr>
          <w:p w14:paraId="2401BC23" w14:textId="4127C92B" w:rsidR="0076481F" w:rsidRPr="002B428A" w:rsidRDefault="0076481F" w:rsidP="00DB4E8E">
            <w:pPr>
              <w:pStyle w:val="Sangradetextonormal"/>
              <w:spacing w:after="0"/>
              <w:ind w:left="0"/>
              <w:rPr>
                <w:rFonts w:eastAsia="SimSun" w:cs="Times New Roman"/>
                <w:szCs w:val="24"/>
                <w:lang w:val="es-MX" w:eastAsia="zh-CN"/>
              </w:rPr>
            </w:pPr>
            <w:r w:rsidRPr="002B428A">
              <w:rPr>
                <w:rStyle w:val="ng-star-inserted"/>
                <w:rFonts w:cs="Times New Roman"/>
                <w:color w:val="303030"/>
                <w:szCs w:val="24"/>
              </w:rPr>
              <w:t>$ 12,000.00</w:t>
            </w:r>
          </w:p>
        </w:tc>
      </w:tr>
      <w:tr w:rsidR="0076481F" w:rsidRPr="002B428A" w14:paraId="1CB58F68" w14:textId="77777777" w:rsidTr="0076481F">
        <w:tc>
          <w:tcPr>
            <w:tcW w:w="2891" w:type="dxa"/>
          </w:tcPr>
          <w:p w14:paraId="6C76E66B" w14:textId="2E5D5389" w:rsidR="0076481F" w:rsidRPr="002B428A" w:rsidRDefault="0076481F" w:rsidP="00DB4E8E">
            <w:pPr>
              <w:pStyle w:val="Sangradetextonormal"/>
              <w:spacing w:after="0"/>
              <w:ind w:left="0"/>
              <w:rPr>
                <w:rFonts w:eastAsia="SimSun" w:cs="Times New Roman"/>
                <w:szCs w:val="24"/>
                <w:lang w:val="es-MX" w:eastAsia="zh-CN"/>
              </w:rPr>
            </w:pPr>
            <w:r w:rsidRPr="002B428A">
              <w:rPr>
                <w:rFonts w:cs="Times New Roman"/>
                <w:b/>
                <w:bCs/>
                <w:color w:val="303030"/>
                <w:szCs w:val="24"/>
              </w:rPr>
              <w:t>Tecnología de Monitoreo</w:t>
            </w:r>
          </w:p>
        </w:tc>
        <w:tc>
          <w:tcPr>
            <w:tcW w:w="2895" w:type="dxa"/>
          </w:tcPr>
          <w:p w14:paraId="287282B2" w14:textId="4D5A6B3C" w:rsidR="0076481F" w:rsidRPr="002B428A" w:rsidRDefault="0076481F" w:rsidP="00DB4E8E">
            <w:pPr>
              <w:pStyle w:val="Sangradetextonormal"/>
              <w:spacing w:after="0"/>
              <w:ind w:left="0"/>
              <w:rPr>
                <w:rFonts w:eastAsia="SimSun" w:cs="Times New Roman"/>
                <w:szCs w:val="24"/>
                <w:lang w:val="es-MX" w:eastAsia="zh-CN"/>
              </w:rPr>
            </w:pPr>
            <w:r w:rsidRPr="002B428A">
              <w:rPr>
                <w:rStyle w:val="ng-star-inserted"/>
                <w:rFonts w:cs="Times New Roman"/>
                <w:color w:val="303030"/>
                <w:szCs w:val="24"/>
              </w:rPr>
              <w:t>Implementación de un software o tablero de control (Dashboard) para seguimiento de hitos contractuales en tiempo real.</w:t>
            </w:r>
          </w:p>
        </w:tc>
        <w:tc>
          <w:tcPr>
            <w:tcW w:w="2900" w:type="dxa"/>
          </w:tcPr>
          <w:p w14:paraId="4C0CA8D3" w14:textId="20D0CD0B" w:rsidR="0076481F" w:rsidRPr="002B428A" w:rsidRDefault="0076481F" w:rsidP="00DB4E8E">
            <w:pPr>
              <w:pStyle w:val="Sangradetextonormal"/>
              <w:spacing w:after="0"/>
              <w:ind w:left="0"/>
              <w:rPr>
                <w:rFonts w:eastAsia="SimSun" w:cs="Times New Roman"/>
                <w:szCs w:val="24"/>
                <w:lang w:val="es-MX" w:eastAsia="zh-CN"/>
              </w:rPr>
            </w:pPr>
            <w:r w:rsidRPr="002B428A">
              <w:rPr>
                <w:rStyle w:val="ng-star-inserted"/>
                <w:rFonts w:cs="Times New Roman"/>
                <w:color w:val="303030"/>
                <w:szCs w:val="24"/>
              </w:rPr>
              <w:t>$ 5,500.00</w:t>
            </w:r>
          </w:p>
        </w:tc>
      </w:tr>
      <w:tr w:rsidR="0076481F" w:rsidRPr="002B428A" w14:paraId="5CFC5212" w14:textId="77777777" w:rsidTr="0076481F">
        <w:tc>
          <w:tcPr>
            <w:tcW w:w="2891" w:type="dxa"/>
          </w:tcPr>
          <w:p w14:paraId="7C4B39B5" w14:textId="0556D639" w:rsidR="0076481F" w:rsidRPr="002B428A" w:rsidRDefault="0076481F" w:rsidP="00DB4E8E">
            <w:pPr>
              <w:pStyle w:val="Sangradetextonormal"/>
              <w:spacing w:after="0"/>
              <w:ind w:left="0"/>
              <w:rPr>
                <w:rFonts w:eastAsia="SimSun" w:cs="Times New Roman"/>
                <w:szCs w:val="24"/>
                <w:lang w:val="es-MX" w:eastAsia="zh-CN"/>
              </w:rPr>
            </w:pPr>
            <w:r w:rsidRPr="002B428A">
              <w:rPr>
                <w:rFonts w:cs="Times New Roman"/>
                <w:b/>
                <w:bCs/>
                <w:color w:val="303030"/>
                <w:szCs w:val="24"/>
              </w:rPr>
              <w:t>Programa de Capacitación</w:t>
            </w:r>
          </w:p>
        </w:tc>
        <w:tc>
          <w:tcPr>
            <w:tcW w:w="2895" w:type="dxa"/>
          </w:tcPr>
          <w:p w14:paraId="6CF1C60B" w14:textId="6F64F729" w:rsidR="0076481F" w:rsidRPr="002B428A" w:rsidRDefault="0076481F" w:rsidP="00DB4E8E">
            <w:pPr>
              <w:pStyle w:val="Sangradetextonormal"/>
              <w:spacing w:after="0"/>
              <w:ind w:left="0"/>
              <w:rPr>
                <w:rFonts w:eastAsia="SimSun" w:cs="Times New Roman"/>
                <w:szCs w:val="24"/>
                <w:lang w:val="es-MX" w:eastAsia="zh-CN"/>
              </w:rPr>
            </w:pPr>
            <w:r w:rsidRPr="002B428A">
              <w:rPr>
                <w:rStyle w:val="ng-star-inserted"/>
                <w:rFonts w:cs="Times New Roman"/>
                <w:color w:val="303030"/>
                <w:szCs w:val="24"/>
              </w:rPr>
              <w:t>Ejecución de talleres prácticos intensivos y elaboración de guías metodológicas para el personal de compras públicas.</w:t>
            </w:r>
          </w:p>
        </w:tc>
        <w:tc>
          <w:tcPr>
            <w:tcW w:w="2900" w:type="dxa"/>
          </w:tcPr>
          <w:p w14:paraId="1247866A" w14:textId="0F6AD16A" w:rsidR="0076481F" w:rsidRPr="002B428A" w:rsidRDefault="0076481F" w:rsidP="00DB4E8E">
            <w:pPr>
              <w:pStyle w:val="Sangradetextonormal"/>
              <w:spacing w:after="0"/>
              <w:ind w:left="0"/>
              <w:rPr>
                <w:rFonts w:eastAsia="SimSun" w:cs="Times New Roman"/>
                <w:szCs w:val="24"/>
                <w:lang w:val="es-MX" w:eastAsia="zh-CN"/>
              </w:rPr>
            </w:pPr>
            <w:r w:rsidRPr="002B428A">
              <w:rPr>
                <w:rStyle w:val="ng-star-inserted"/>
                <w:rFonts w:cs="Times New Roman"/>
                <w:color w:val="303030"/>
                <w:szCs w:val="24"/>
              </w:rPr>
              <w:t>$ 3,500.00</w:t>
            </w:r>
          </w:p>
        </w:tc>
      </w:tr>
      <w:tr w:rsidR="0076481F" w:rsidRPr="002B428A" w14:paraId="05405CCF" w14:textId="77777777" w:rsidTr="0076481F">
        <w:tc>
          <w:tcPr>
            <w:tcW w:w="2891" w:type="dxa"/>
          </w:tcPr>
          <w:p w14:paraId="56E553E8" w14:textId="0FF08A2E" w:rsidR="0076481F" w:rsidRPr="002B428A" w:rsidRDefault="0076481F" w:rsidP="00DB4E8E">
            <w:pPr>
              <w:pStyle w:val="Sangradetextonormal"/>
              <w:spacing w:after="0"/>
              <w:ind w:left="0"/>
              <w:rPr>
                <w:rFonts w:eastAsia="SimSun" w:cs="Times New Roman"/>
                <w:szCs w:val="24"/>
                <w:lang w:val="es-MX" w:eastAsia="zh-CN"/>
              </w:rPr>
            </w:pPr>
            <w:r w:rsidRPr="002B428A">
              <w:rPr>
                <w:rFonts w:cs="Times New Roman"/>
                <w:b/>
                <w:bCs/>
                <w:color w:val="303030"/>
                <w:szCs w:val="24"/>
              </w:rPr>
              <w:t>Gastos Operativos</w:t>
            </w:r>
          </w:p>
        </w:tc>
        <w:tc>
          <w:tcPr>
            <w:tcW w:w="2895" w:type="dxa"/>
          </w:tcPr>
          <w:p w14:paraId="36D0BD2E" w14:textId="19F1C2CE" w:rsidR="0076481F" w:rsidRPr="002B428A" w:rsidRDefault="0076481F" w:rsidP="00DB4E8E">
            <w:pPr>
              <w:pStyle w:val="Sangradetextonormal"/>
              <w:spacing w:after="0"/>
              <w:ind w:left="0"/>
              <w:rPr>
                <w:rFonts w:eastAsia="SimSun" w:cs="Times New Roman"/>
                <w:szCs w:val="24"/>
                <w:lang w:val="es-MX" w:eastAsia="zh-CN"/>
              </w:rPr>
            </w:pPr>
            <w:r w:rsidRPr="002B428A">
              <w:rPr>
                <w:rStyle w:val="ng-star-inserted"/>
                <w:rFonts w:cs="Times New Roman"/>
                <w:color w:val="303030"/>
                <w:szCs w:val="24"/>
              </w:rPr>
              <w:t>Materiales técnicos, licencias temporales y logística para la implementación de las nuevas herramientas.</w:t>
            </w:r>
          </w:p>
        </w:tc>
        <w:tc>
          <w:tcPr>
            <w:tcW w:w="2900" w:type="dxa"/>
          </w:tcPr>
          <w:p w14:paraId="00F655A5" w14:textId="6ACB263C" w:rsidR="0076481F" w:rsidRPr="002B428A" w:rsidRDefault="0076481F" w:rsidP="00DB4E8E">
            <w:pPr>
              <w:pStyle w:val="Sangradetextonormal"/>
              <w:spacing w:after="0"/>
              <w:ind w:left="0"/>
              <w:rPr>
                <w:rFonts w:eastAsia="SimSun" w:cs="Times New Roman"/>
                <w:szCs w:val="24"/>
                <w:lang w:val="es-MX" w:eastAsia="zh-CN"/>
              </w:rPr>
            </w:pPr>
            <w:r w:rsidRPr="002B428A">
              <w:rPr>
                <w:rStyle w:val="ng-star-inserted"/>
                <w:rFonts w:cs="Times New Roman"/>
                <w:color w:val="303030"/>
                <w:szCs w:val="24"/>
              </w:rPr>
              <w:t>$ 1,500.00</w:t>
            </w:r>
          </w:p>
        </w:tc>
      </w:tr>
      <w:tr w:rsidR="0076481F" w:rsidRPr="002B428A" w14:paraId="65372D82" w14:textId="77777777" w:rsidTr="0076481F">
        <w:tc>
          <w:tcPr>
            <w:tcW w:w="2891" w:type="dxa"/>
          </w:tcPr>
          <w:p w14:paraId="113517B7" w14:textId="0E86BDFE" w:rsidR="0076481F" w:rsidRPr="002B428A" w:rsidRDefault="0076481F" w:rsidP="00DB4E8E">
            <w:pPr>
              <w:pStyle w:val="Sangradetextonormal"/>
              <w:spacing w:after="0"/>
              <w:ind w:left="0"/>
              <w:rPr>
                <w:rFonts w:eastAsia="SimSun" w:cs="Times New Roman"/>
                <w:szCs w:val="24"/>
                <w:lang w:val="es-MX" w:eastAsia="zh-CN"/>
              </w:rPr>
            </w:pPr>
            <w:r w:rsidRPr="002B428A">
              <w:rPr>
                <w:rFonts w:cs="Times New Roman"/>
                <w:b/>
                <w:bCs/>
                <w:color w:val="303030"/>
                <w:szCs w:val="24"/>
              </w:rPr>
              <w:t>TOTAL ESTIMADO</w:t>
            </w:r>
          </w:p>
        </w:tc>
        <w:tc>
          <w:tcPr>
            <w:tcW w:w="2895" w:type="dxa"/>
          </w:tcPr>
          <w:p w14:paraId="3CDB9464" w14:textId="623365DB" w:rsidR="0076481F" w:rsidRPr="002B428A" w:rsidRDefault="0076481F" w:rsidP="00DB4E8E">
            <w:pPr>
              <w:pStyle w:val="Sangradetextonormal"/>
              <w:spacing w:after="0"/>
              <w:ind w:left="0"/>
              <w:rPr>
                <w:rFonts w:eastAsia="SimSun" w:cs="Times New Roman"/>
                <w:szCs w:val="24"/>
                <w:lang w:val="es-MX" w:eastAsia="zh-CN"/>
              </w:rPr>
            </w:pPr>
            <w:r w:rsidRPr="002B428A">
              <w:rPr>
                <w:rFonts w:cs="Times New Roman"/>
                <w:b/>
                <w:bCs/>
                <w:color w:val="303030"/>
                <w:szCs w:val="24"/>
              </w:rPr>
              <w:t>Inversión para la optimización de la gestión contractual</w:t>
            </w:r>
          </w:p>
        </w:tc>
        <w:tc>
          <w:tcPr>
            <w:tcW w:w="2900" w:type="dxa"/>
          </w:tcPr>
          <w:p w14:paraId="4ED890C8" w14:textId="68D75F51" w:rsidR="0076481F" w:rsidRPr="002B428A" w:rsidRDefault="0076481F" w:rsidP="00DB4E8E">
            <w:pPr>
              <w:pStyle w:val="Sangradetextonormal"/>
              <w:spacing w:after="0"/>
              <w:ind w:left="0"/>
              <w:rPr>
                <w:rFonts w:eastAsia="SimSun" w:cs="Times New Roman"/>
                <w:szCs w:val="24"/>
                <w:lang w:val="es-MX" w:eastAsia="zh-CN"/>
              </w:rPr>
            </w:pPr>
            <w:r w:rsidRPr="002B428A">
              <w:rPr>
                <w:rFonts w:cs="Times New Roman"/>
                <w:b/>
                <w:bCs/>
                <w:color w:val="303030"/>
                <w:szCs w:val="24"/>
              </w:rPr>
              <w:t>$ 22,500.00</w:t>
            </w:r>
          </w:p>
        </w:tc>
      </w:tr>
    </w:tbl>
    <w:p w14:paraId="5E1B2386" w14:textId="7CB34493" w:rsidR="0076481F" w:rsidRPr="002B428A" w:rsidRDefault="0076481F" w:rsidP="00DB4E8E">
      <w:pPr>
        <w:jc w:val="both"/>
        <w:rPr>
          <w:rFonts w:cs="Times New Roman"/>
        </w:rPr>
      </w:pPr>
      <w:r w:rsidRPr="002B428A">
        <w:rPr>
          <w:rFonts w:cs="Times New Roman"/>
          <w:b/>
          <w:bCs/>
          <w:i/>
          <w:iCs/>
          <w:szCs w:val="24"/>
        </w:rPr>
        <w:t xml:space="preserve">Nota. </w:t>
      </w:r>
      <w:r w:rsidRPr="0083448F">
        <w:rPr>
          <w:rFonts w:cs="Times New Roman"/>
          <w:szCs w:val="24"/>
        </w:rPr>
        <w:t>La tabla muestra la distribución de los valores de la propuesta de estudio. Elaboración propia.</w:t>
      </w:r>
    </w:p>
    <w:p w14:paraId="1D1B4B68" w14:textId="75D29F0F" w:rsidR="004030BE" w:rsidRPr="002B428A" w:rsidRDefault="004030BE" w:rsidP="00DB4E8E">
      <w:pPr>
        <w:pStyle w:val="Sangradetextonormal"/>
        <w:spacing w:after="0"/>
        <w:ind w:left="0"/>
        <w:jc w:val="both"/>
        <w:rPr>
          <w:rFonts w:eastAsia="SimSun" w:cs="Times New Roman"/>
          <w:szCs w:val="24"/>
          <w:lang w:val="es-MX" w:eastAsia="zh-CN"/>
        </w:rPr>
      </w:pPr>
      <w:r w:rsidRPr="002B428A">
        <w:rPr>
          <w:rFonts w:eastAsia="SimSun" w:cs="Times New Roman"/>
          <w:szCs w:val="24"/>
          <w:lang w:val="es-MX" w:eastAsia="zh-CN"/>
        </w:rPr>
        <w:t xml:space="preserve">Con base en los resultados obtenidos en la investigación, se identificó que únicamente el 44% de los procesos de contratación de obras alcanzaron una ejecución satisfactoria, mientras que el 56% presentó inconvenientes relacionados con procesos desiertos, observaciones reiteradas, retrasos en la elaboración de la documentación y </w:t>
      </w:r>
      <w:proofErr w:type="spellStart"/>
      <w:r w:rsidRPr="002B428A">
        <w:rPr>
          <w:rFonts w:eastAsia="SimSun" w:cs="Times New Roman"/>
          <w:szCs w:val="24"/>
          <w:lang w:val="es-MX" w:eastAsia="zh-CN"/>
        </w:rPr>
        <w:t>reprocesos</w:t>
      </w:r>
      <w:proofErr w:type="spellEnd"/>
      <w:r w:rsidRPr="002B428A">
        <w:rPr>
          <w:rFonts w:eastAsia="SimSun" w:cs="Times New Roman"/>
          <w:szCs w:val="24"/>
          <w:lang w:val="es-MX" w:eastAsia="zh-CN"/>
        </w:rPr>
        <w:t xml:space="preserve"> administrativos, lo cual genera costos indirectos asociados al incremento de horas de trabajo del personal, ampliación de plazos contractuales, nuevas publicaciones de procesos y retrasos en la ejecución de obras públicas.</w:t>
      </w:r>
    </w:p>
    <w:p w14:paraId="3B28942C" w14:textId="77777777" w:rsidR="004030BE" w:rsidRPr="002B428A" w:rsidRDefault="004030BE" w:rsidP="00DB4E8E">
      <w:pPr>
        <w:pStyle w:val="Sangradetextonormal"/>
        <w:spacing w:after="0"/>
        <w:ind w:left="0"/>
        <w:jc w:val="both"/>
        <w:rPr>
          <w:rFonts w:eastAsia="SimSun" w:cs="Times New Roman"/>
          <w:szCs w:val="24"/>
          <w:lang w:val="es-MX" w:eastAsia="zh-CN"/>
        </w:rPr>
      </w:pPr>
      <w:r w:rsidRPr="002B428A">
        <w:rPr>
          <w:rFonts w:eastAsia="SimSun" w:cs="Times New Roman"/>
          <w:szCs w:val="24"/>
          <w:lang w:val="es-MX" w:eastAsia="zh-CN"/>
        </w:rPr>
        <w:t xml:space="preserve">La implementación de la presente propuesta permitirá reducir significativamente estos </w:t>
      </w:r>
      <w:proofErr w:type="spellStart"/>
      <w:r w:rsidRPr="002B428A">
        <w:rPr>
          <w:rFonts w:eastAsia="SimSun" w:cs="Times New Roman"/>
          <w:szCs w:val="24"/>
          <w:lang w:val="es-MX" w:eastAsia="zh-CN"/>
        </w:rPr>
        <w:t>reprocesos</w:t>
      </w:r>
      <w:proofErr w:type="spellEnd"/>
      <w:r w:rsidRPr="002B428A">
        <w:rPr>
          <w:rFonts w:eastAsia="SimSun" w:cs="Times New Roman"/>
          <w:szCs w:val="24"/>
          <w:lang w:val="es-MX" w:eastAsia="zh-CN"/>
        </w:rPr>
        <w:t xml:space="preserve"> mediante la estandarización del procedimiento para la elaboración y revisión de los documentos preparatorios, el fortalecimiento de las capacidades del personal y el monitoreo permanente de los hitos contractuales.</w:t>
      </w:r>
    </w:p>
    <w:p w14:paraId="1EC92917" w14:textId="1FE1C6B0" w:rsidR="004030BE" w:rsidRPr="002B428A" w:rsidRDefault="004030BE" w:rsidP="00DB4E8E">
      <w:pPr>
        <w:pStyle w:val="Sangradetextonormal"/>
        <w:spacing w:after="0"/>
        <w:ind w:left="0"/>
        <w:jc w:val="both"/>
        <w:rPr>
          <w:rFonts w:eastAsia="SimSun" w:cs="Times New Roman"/>
          <w:szCs w:val="24"/>
          <w:lang w:val="es-MX" w:eastAsia="zh-CN"/>
        </w:rPr>
      </w:pPr>
      <w:r w:rsidRPr="002B428A">
        <w:rPr>
          <w:rFonts w:eastAsia="SimSun" w:cs="Times New Roman"/>
          <w:szCs w:val="24"/>
          <w:lang w:val="es-MX" w:eastAsia="zh-CN"/>
        </w:rPr>
        <w:t xml:space="preserve">Se estima que, durante el primer año de implementación, los </w:t>
      </w:r>
      <w:proofErr w:type="spellStart"/>
      <w:r w:rsidRPr="002B428A">
        <w:rPr>
          <w:rFonts w:eastAsia="SimSun" w:cs="Times New Roman"/>
          <w:szCs w:val="24"/>
          <w:lang w:val="es-MX" w:eastAsia="zh-CN"/>
        </w:rPr>
        <w:t>reprocesos</w:t>
      </w:r>
      <w:proofErr w:type="spellEnd"/>
      <w:r w:rsidRPr="002B428A">
        <w:rPr>
          <w:rFonts w:eastAsia="SimSun" w:cs="Times New Roman"/>
          <w:szCs w:val="24"/>
          <w:lang w:val="es-MX" w:eastAsia="zh-CN"/>
        </w:rPr>
        <w:t xml:space="preserve"> administrativos podrían disminuir aproximadamente en un 40%, lo que representaría un ahorro estimado de USD $15.000 a USD $18.000 por concepto de horas hombre, elaboración de nuevos expedientes, publicaciones repetidas y costos administrativos asociados a procesos declarados desiertos.</w:t>
      </w:r>
    </w:p>
    <w:p w14:paraId="263A0750" w14:textId="49EB7EEA" w:rsidR="004030BE" w:rsidRPr="002B428A" w:rsidRDefault="004030BE" w:rsidP="00DB4E8E">
      <w:pPr>
        <w:pStyle w:val="Sangradetextonormal"/>
        <w:spacing w:after="0"/>
        <w:ind w:left="0"/>
        <w:jc w:val="both"/>
        <w:rPr>
          <w:rFonts w:eastAsia="SimSun" w:cs="Times New Roman"/>
          <w:szCs w:val="24"/>
          <w:lang w:val="es-MX" w:eastAsia="zh-CN"/>
        </w:rPr>
      </w:pPr>
      <w:r w:rsidRPr="002B428A">
        <w:rPr>
          <w:rFonts w:eastAsia="SimSun" w:cs="Times New Roman"/>
          <w:szCs w:val="24"/>
          <w:lang w:val="es-MX" w:eastAsia="zh-CN"/>
        </w:rPr>
        <w:t>Asimismo, se proyecta incrementar la tasa de procesos ejecutados exitosamente del 44 % al 70%, reduciendo el porcentaje de procesos con inconvenientes al 30%, lo que permitirá optimizar la utilización de los recursos públicos y mejorar la oportunidad en la ejecución de obras municipales.</w:t>
      </w:r>
    </w:p>
    <w:p w14:paraId="1B374522" w14:textId="013D2676" w:rsidR="004030BE" w:rsidRPr="002B428A" w:rsidRDefault="004030BE" w:rsidP="00DB4E8E">
      <w:pPr>
        <w:pStyle w:val="Sangradetextonormal"/>
        <w:spacing w:after="0"/>
        <w:ind w:left="0"/>
        <w:jc w:val="both"/>
        <w:rPr>
          <w:rFonts w:eastAsia="SimSun" w:cs="Times New Roman"/>
          <w:szCs w:val="24"/>
          <w:lang w:val="es-MX" w:eastAsia="zh-CN"/>
        </w:rPr>
      </w:pPr>
      <w:r w:rsidRPr="002B428A">
        <w:rPr>
          <w:rFonts w:eastAsia="SimSun" w:cs="Times New Roman"/>
          <w:szCs w:val="24"/>
          <w:lang w:val="es-MX" w:eastAsia="zh-CN"/>
        </w:rPr>
        <w:t>Desde el punto de vista financiero, considerando una inversión inicial de USD $22.500, el ahorro esperado durante el primer año permitiría recuperar aproximadamente entre el 67% y el 80 % de la inversión, mientras que a partir del segundo año la institución comenzaría a obtener beneficios económicos netos, debido a que el manual, las capacitaciones y el tablero de control únicamente requerirán costos mínimos de actualización y mantenimiento.</w:t>
      </w:r>
    </w:p>
    <w:p w14:paraId="4FE36CE6" w14:textId="1EB23E28" w:rsidR="004030BE" w:rsidRPr="002B428A" w:rsidRDefault="004030BE" w:rsidP="00DB4E8E">
      <w:pPr>
        <w:pStyle w:val="Textoindependiente"/>
      </w:pPr>
      <w:r w:rsidRPr="002B428A">
        <w:rPr>
          <w:b/>
          <w:bCs/>
        </w:rPr>
        <w:t>Tabla 4.</w:t>
      </w:r>
      <w:r w:rsidRPr="002B428A">
        <w:t xml:space="preserve"> </w:t>
      </w:r>
    </w:p>
    <w:p w14:paraId="508D1820" w14:textId="11D76159" w:rsidR="004030BE" w:rsidRPr="002B428A" w:rsidRDefault="004030BE" w:rsidP="00DB4E8E">
      <w:pPr>
        <w:pStyle w:val="Textoindependiente"/>
        <w:rPr>
          <w:i/>
          <w:iCs/>
        </w:rPr>
      </w:pPr>
      <w:r w:rsidRPr="002B428A">
        <w:rPr>
          <w:i/>
          <w:iCs/>
        </w:rPr>
        <w:t>Estimación del impacto económico esperado.</w:t>
      </w:r>
    </w:p>
    <w:tbl>
      <w:tblPr>
        <w:tblW w:w="0" w:type="auto"/>
        <w:tblCellSpacing w:w="15" w:type="dxa"/>
        <w:tblBorders>
          <w:bottom w:val="single" w:sz="4" w:space="0" w:color="auto"/>
        </w:tblBorders>
        <w:tblCellMar>
          <w:top w:w="15" w:type="dxa"/>
          <w:left w:w="15" w:type="dxa"/>
          <w:bottom w:w="15" w:type="dxa"/>
          <w:right w:w="15" w:type="dxa"/>
        </w:tblCellMar>
        <w:tblLook w:val="04A0" w:firstRow="1" w:lastRow="0" w:firstColumn="1" w:lastColumn="0" w:noHBand="0" w:noVBand="1"/>
      </w:tblPr>
      <w:tblGrid>
        <w:gridCol w:w="3257"/>
        <w:gridCol w:w="1385"/>
        <w:gridCol w:w="1562"/>
        <w:gridCol w:w="2634"/>
      </w:tblGrid>
      <w:tr w:rsidR="004030BE" w:rsidRPr="002B428A" w14:paraId="307A69A3" w14:textId="77777777" w:rsidTr="004030BE">
        <w:trPr>
          <w:tblHeader/>
          <w:tblCellSpacing w:w="15" w:type="dxa"/>
        </w:trPr>
        <w:tc>
          <w:tcPr>
            <w:tcW w:w="0" w:type="auto"/>
            <w:tcBorders>
              <w:top w:val="single" w:sz="4" w:space="0" w:color="auto"/>
              <w:bottom w:val="single" w:sz="4" w:space="0" w:color="auto"/>
            </w:tcBorders>
            <w:vAlign w:val="center"/>
            <w:hideMark/>
          </w:tcPr>
          <w:p w14:paraId="46B43358" w14:textId="77777777" w:rsidR="004030BE" w:rsidRPr="002B428A" w:rsidRDefault="004030BE" w:rsidP="00DB4E8E">
            <w:pPr>
              <w:jc w:val="center"/>
              <w:rPr>
                <w:rFonts w:cs="Times New Roman"/>
                <w:b/>
                <w:bCs/>
                <w:lang w:val="es-MX"/>
              </w:rPr>
            </w:pPr>
            <w:r w:rsidRPr="002B428A">
              <w:rPr>
                <w:rFonts w:cs="Times New Roman"/>
                <w:b/>
                <w:bCs/>
                <w:lang w:val="es-MX"/>
              </w:rPr>
              <w:t>Indicador</w:t>
            </w:r>
          </w:p>
        </w:tc>
        <w:tc>
          <w:tcPr>
            <w:tcW w:w="0" w:type="auto"/>
            <w:tcBorders>
              <w:top w:val="single" w:sz="4" w:space="0" w:color="auto"/>
              <w:bottom w:val="single" w:sz="4" w:space="0" w:color="auto"/>
            </w:tcBorders>
            <w:vAlign w:val="center"/>
            <w:hideMark/>
          </w:tcPr>
          <w:p w14:paraId="0A2285B9" w14:textId="77777777" w:rsidR="004030BE" w:rsidRPr="002B428A" w:rsidRDefault="004030BE" w:rsidP="00DB4E8E">
            <w:pPr>
              <w:jc w:val="center"/>
              <w:rPr>
                <w:rFonts w:cs="Times New Roman"/>
                <w:b/>
                <w:bCs/>
                <w:lang w:val="es-MX"/>
              </w:rPr>
            </w:pPr>
            <w:r w:rsidRPr="002B428A">
              <w:rPr>
                <w:rFonts w:cs="Times New Roman"/>
                <w:b/>
                <w:bCs/>
                <w:lang w:val="es-MX"/>
              </w:rPr>
              <w:t>Situación actual</w:t>
            </w:r>
          </w:p>
        </w:tc>
        <w:tc>
          <w:tcPr>
            <w:tcW w:w="0" w:type="auto"/>
            <w:tcBorders>
              <w:top w:val="single" w:sz="4" w:space="0" w:color="auto"/>
              <w:bottom w:val="single" w:sz="4" w:space="0" w:color="auto"/>
            </w:tcBorders>
            <w:vAlign w:val="center"/>
            <w:hideMark/>
          </w:tcPr>
          <w:p w14:paraId="6970BA02" w14:textId="77777777" w:rsidR="004030BE" w:rsidRPr="002B428A" w:rsidRDefault="004030BE" w:rsidP="00DB4E8E">
            <w:pPr>
              <w:jc w:val="center"/>
              <w:rPr>
                <w:rFonts w:cs="Times New Roman"/>
                <w:b/>
                <w:bCs/>
                <w:lang w:val="es-MX"/>
              </w:rPr>
            </w:pPr>
            <w:r w:rsidRPr="002B428A">
              <w:rPr>
                <w:rFonts w:cs="Times New Roman"/>
                <w:b/>
                <w:bCs/>
                <w:lang w:val="es-MX"/>
              </w:rPr>
              <w:t>Situación esperada</w:t>
            </w:r>
          </w:p>
        </w:tc>
        <w:tc>
          <w:tcPr>
            <w:tcW w:w="0" w:type="auto"/>
            <w:tcBorders>
              <w:top w:val="single" w:sz="4" w:space="0" w:color="auto"/>
              <w:bottom w:val="single" w:sz="4" w:space="0" w:color="auto"/>
            </w:tcBorders>
            <w:vAlign w:val="center"/>
            <w:hideMark/>
          </w:tcPr>
          <w:p w14:paraId="249CDA96" w14:textId="77777777" w:rsidR="004030BE" w:rsidRPr="002B428A" w:rsidRDefault="004030BE" w:rsidP="00DB4E8E">
            <w:pPr>
              <w:jc w:val="center"/>
              <w:rPr>
                <w:rFonts w:cs="Times New Roman"/>
                <w:b/>
                <w:bCs/>
                <w:lang w:val="es-MX"/>
              </w:rPr>
            </w:pPr>
            <w:r w:rsidRPr="002B428A">
              <w:rPr>
                <w:rFonts w:cs="Times New Roman"/>
                <w:b/>
                <w:bCs/>
                <w:lang w:val="es-MX"/>
              </w:rPr>
              <w:t>Impacto</w:t>
            </w:r>
          </w:p>
        </w:tc>
      </w:tr>
      <w:tr w:rsidR="004030BE" w:rsidRPr="002B428A" w14:paraId="4B38A487" w14:textId="77777777" w:rsidTr="004030BE">
        <w:trPr>
          <w:tblCellSpacing w:w="15" w:type="dxa"/>
        </w:trPr>
        <w:tc>
          <w:tcPr>
            <w:tcW w:w="0" w:type="auto"/>
            <w:vAlign w:val="center"/>
            <w:hideMark/>
          </w:tcPr>
          <w:p w14:paraId="63334E15" w14:textId="77777777" w:rsidR="004030BE" w:rsidRPr="002B428A" w:rsidRDefault="004030BE" w:rsidP="00DB4E8E">
            <w:pPr>
              <w:rPr>
                <w:rFonts w:cs="Times New Roman"/>
                <w:lang w:val="es-MX"/>
              </w:rPr>
            </w:pPr>
            <w:r w:rsidRPr="002B428A">
              <w:rPr>
                <w:rFonts w:cs="Times New Roman"/>
                <w:lang w:val="es-MX"/>
              </w:rPr>
              <w:t>Procesos ejecutados satisfactoriamente</w:t>
            </w:r>
          </w:p>
        </w:tc>
        <w:tc>
          <w:tcPr>
            <w:tcW w:w="0" w:type="auto"/>
            <w:vAlign w:val="center"/>
            <w:hideMark/>
          </w:tcPr>
          <w:p w14:paraId="42475A7D" w14:textId="77777777" w:rsidR="004030BE" w:rsidRPr="002B428A" w:rsidRDefault="004030BE" w:rsidP="00DB4E8E">
            <w:pPr>
              <w:rPr>
                <w:rFonts w:cs="Times New Roman"/>
                <w:lang w:val="es-MX"/>
              </w:rPr>
            </w:pPr>
            <w:r w:rsidRPr="002B428A">
              <w:rPr>
                <w:rFonts w:cs="Times New Roman"/>
                <w:lang w:val="es-MX"/>
              </w:rPr>
              <w:t>41,7 %</w:t>
            </w:r>
          </w:p>
        </w:tc>
        <w:tc>
          <w:tcPr>
            <w:tcW w:w="0" w:type="auto"/>
            <w:vAlign w:val="center"/>
            <w:hideMark/>
          </w:tcPr>
          <w:p w14:paraId="4667459A" w14:textId="77777777" w:rsidR="004030BE" w:rsidRPr="002B428A" w:rsidRDefault="004030BE" w:rsidP="00DB4E8E">
            <w:pPr>
              <w:rPr>
                <w:rFonts w:cs="Times New Roman"/>
                <w:lang w:val="es-MX"/>
              </w:rPr>
            </w:pPr>
            <w:r w:rsidRPr="002B428A">
              <w:rPr>
                <w:rFonts w:cs="Times New Roman"/>
                <w:lang w:val="es-MX"/>
              </w:rPr>
              <w:t>70 %</w:t>
            </w:r>
          </w:p>
        </w:tc>
        <w:tc>
          <w:tcPr>
            <w:tcW w:w="0" w:type="auto"/>
            <w:vAlign w:val="center"/>
            <w:hideMark/>
          </w:tcPr>
          <w:p w14:paraId="02E5F6C5" w14:textId="77777777" w:rsidR="004030BE" w:rsidRPr="002B428A" w:rsidRDefault="004030BE" w:rsidP="00DB4E8E">
            <w:pPr>
              <w:rPr>
                <w:rFonts w:cs="Times New Roman"/>
                <w:lang w:val="es-MX"/>
              </w:rPr>
            </w:pPr>
            <w:r w:rsidRPr="002B428A">
              <w:rPr>
                <w:rFonts w:cs="Times New Roman"/>
                <w:lang w:val="es-MX"/>
              </w:rPr>
              <w:t>+28,3 %</w:t>
            </w:r>
          </w:p>
        </w:tc>
      </w:tr>
      <w:tr w:rsidR="004030BE" w:rsidRPr="002B428A" w14:paraId="60911798" w14:textId="77777777" w:rsidTr="004030BE">
        <w:trPr>
          <w:tblCellSpacing w:w="15" w:type="dxa"/>
        </w:trPr>
        <w:tc>
          <w:tcPr>
            <w:tcW w:w="0" w:type="auto"/>
            <w:vAlign w:val="center"/>
            <w:hideMark/>
          </w:tcPr>
          <w:p w14:paraId="570CBB64" w14:textId="77777777" w:rsidR="004030BE" w:rsidRPr="002B428A" w:rsidRDefault="004030BE" w:rsidP="00DB4E8E">
            <w:pPr>
              <w:rPr>
                <w:rFonts w:cs="Times New Roman"/>
                <w:lang w:val="es-MX"/>
              </w:rPr>
            </w:pPr>
            <w:r w:rsidRPr="002B428A">
              <w:rPr>
                <w:rFonts w:cs="Times New Roman"/>
                <w:lang w:val="es-MX"/>
              </w:rPr>
              <w:t xml:space="preserve">Procesos con </w:t>
            </w:r>
            <w:proofErr w:type="spellStart"/>
            <w:r w:rsidRPr="002B428A">
              <w:rPr>
                <w:rFonts w:cs="Times New Roman"/>
                <w:lang w:val="es-MX"/>
              </w:rPr>
              <w:t>reprocesos</w:t>
            </w:r>
            <w:proofErr w:type="spellEnd"/>
            <w:r w:rsidRPr="002B428A">
              <w:rPr>
                <w:rFonts w:cs="Times New Roman"/>
                <w:lang w:val="es-MX"/>
              </w:rPr>
              <w:t xml:space="preserve"> o inconvenientes</w:t>
            </w:r>
          </w:p>
        </w:tc>
        <w:tc>
          <w:tcPr>
            <w:tcW w:w="0" w:type="auto"/>
            <w:vAlign w:val="center"/>
            <w:hideMark/>
          </w:tcPr>
          <w:p w14:paraId="1E7DCED6" w14:textId="77777777" w:rsidR="004030BE" w:rsidRPr="002B428A" w:rsidRDefault="004030BE" w:rsidP="00DB4E8E">
            <w:pPr>
              <w:rPr>
                <w:rFonts w:cs="Times New Roman"/>
                <w:lang w:val="es-MX"/>
              </w:rPr>
            </w:pPr>
            <w:r w:rsidRPr="002B428A">
              <w:rPr>
                <w:rFonts w:cs="Times New Roman"/>
                <w:lang w:val="es-MX"/>
              </w:rPr>
              <w:t>58,3 %</w:t>
            </w:r>
          </w:p>
        </w:tc>
        <w:tc>
          <w:tcPr>
            <w:tcW w:w="0" w:type="auto"/>
            <w:vAlign w:val="center"/>
            <w:hideMark/>
          </w:tcPr>
          <w:p w14:paraId="5B74A39C" w14:textId="77777777" w:rsidR="004030BE" w:rsidRPr="002B428A" w:rsidRDefault="004030BE" w:rsidP="00DB4E8E">
            <w:pPr>
              <w:rPr>
                <w:rFonts w:cs="Times New Roman"/>
                <w:lang w:val="es-MX"/>
              </w:rPr>
            </w:pPr>
            <w:r w:rsidRPr="002B428A">
              <w:rPr>
                <w:rFonts w:cs="Times New Roman"/>
                <w:lang w:val="es-MX"/>
              </w:rPr>
              <w:t>30 %</w:t>
            </w:r>
          </w:p>
        </w:tc>
        <w:tc>
          <w:tcPr>
            <w:tcW w:w="0" w:type="auto"/>
            <w:vAlign w:val="center"/>
            <w:hideMark/>
          </w:tcPr>
          <w:p w14:paraId="24B57688" w14:textId="77777777" w:rsidR="004030BE" w:rsidRPr="002B428A" w:rsidRDefault="004030BE" w:rsidP="00DB4E8E">
            <w:pPr>
              <w:rPr>
                <w:rFonts w:cs="Times New Roman"/>
                <w:lang w:val="es-MX"/>
              </w:rPr>
            </w:pPr>
            <w:r w:rsidRPr="002B428A">
              <w:rPr>
                <w:rFonts w:cs="Times New Roman"/>
                <w:lang w:val="es-MX"/>
              </w:rPr>
              <w:t>-28,3 %</w:t>
            </w:r>
          </w:p>
        </w:tc>
      </w:tr>
      <w:tr w:rsidR="004030BE" w:rsidRPr="002B428A" w14:paraId="4142D863" w14:textId="77777777" w:rsidTr="004030BE">
        <w:trPr>
          <w:tblCellSpacing w:w="15" w:type="dxa"/>
        </w:trPr>
        <w:tc>
          <w:tcPr>
            <w:tcW w:w="0" w:type="auto"/>
            <w:vAlign w:val="center"/>
            <w:hideMark/>
          </w:tcPr>
          <w:p w14:paraId="39431A68" w14:textId="77777777" w:rsidR="004030BE" w:rsidRPr="002B428A" w:rsidRDefault="004030BE" w:rsidP="00DB4E8E">
            <w:pPr>
              <w:rPr>
                <w:rFonts w:cs="Times New Roman"/>
                <w:lang w:val="es-MX"/>
              </w:rPr>
            </w:pPr>
            <w:r w:rsidRPr="002B428A">
              <w:rPr>
                <w:rFonts w:cs="Times New Roman"/>
                <w:lang w:val="es-MX"/>
              </w:rPr>
              <w:t>Procesos desiertos</w:t>
            </w:r>
          </w:p>
        </w:tc>
        <w:tc>
          <w:tcPr>
            <w:tcW w:w="0" w:type="auto"/>
            <w:vAlign w:val="center"/>
            <w:hideMark/>
          </w:tcPr>
          <w:p w14:paraId="5E58C8BE" w14:textId="77777777" w:rsidR="004030BE" w:rsidRPr="002B428A" w:rsidRDefault="004030BE" w:rsidP="00DB4E8E">
            <w:pPr>
              <w:rPr>
                <w:rFonts w:cs="Times New Roman"/>
                <w:lang w:val="es-MX"/>
              </w:rPr>
            </w:pPr>
            <w:r w:rsidRPr="002B428A">
              <w:rPr>
                <w:rFonts w:cs="Times New Roman"/>
                <w:lang w:val="es-MX"/>
              </w:rPr>
              <w:t>8,3 %</w:t>
            </w:r>
          </w:p>
        </w:tc>
        <w:tc>
          <w:tcPr>
            <w:tcW w:w="0" w:type="auto"/>
            <w:vAlign w:val="center"/>
            <w:hideMark/>
          </w:tcPr>
          <w:p w14:paraId="0F1A0D60" w14:textId="77777777" w:rsidR="004030BE" w:rsidRPr="002B428A" w:rsidRDefault="004030BE" w:rsidP="00DB4E8E">
            <w:pPr>
              <w:rPr>
                <w:rFonts w:cs="Times New Roman"/>
                <w:lang w:val="es-MX"/>
              </w:rPr>
            </w:pPr>
            <w:r w:rsidRPr="002B428A">
              <w:rPr>
                <w:rFonts w:cs="Times New Roman"/>
                <w:lang w:val="es-MX"/>
              </w:rPr>
              <w:t>≤3 %</w:t>
            </w:r>
          </w:p>
        </w:tc>
        <w:tc>
          <w:tcPr>
            <w:tcW w:w="0" w:type="auto"/>
            <w:vAlign w:val="center"/>
            <w:hideMark/>
          </w:tcPr>
          <w:p w14:paraId="757FC203" w14:textId="77777777" w:rsidR="004030BE" w:rsidRPr="002B428A" w:rsidRDefault="004030BE" w:rsidP="00DB4E8E">
            <w:pPr>
              <w:rPr>
                <w:rFonts w:cs="Times New Roman"/>
                <w:lang w:val="es-MX"/>
              </w:rPr>
            </w:pPr>
            <w:r w:rsidRPr="002B428A">
              <w:rPr>
                <w:rFonts w:cs="Times New Roman"/>
                <w:lang w:val="es-MX"/>
              </w:rPr>
              <w:t>-5,3 %</w:t>
            </w:r>
          </w:p>
        </w:tc>
      </w:tr>
      <w:tr w:rsidR="004030BE" w:rsidRPr="002B428A" w14:paraId="5B1BCC8A" w14:textId="77777777" w:rsidTr="004030BE">
        <w:trPr>
          <w:tblCellSpacing w:w="15" w:type="dxa"/>
        </w:trPr>
        <w:tc>
          <w:tcPr>
            <w:tcW w:w="0" w:type="auto"/>
            <w:vAlign w:val="center"/>
            <w:hideMark/>
          </w:tcPr>
          <w:p w14:paraId="3C742C00" w14:textId="77777777" w:rsidR="004030BE" w:rsidRPr="002B428A" w:rsidRDefault="004030BE" w:rsidP="00DB4E8E">
            <w:pPr>
              <w:rPr>
                <w:rFonts w:cs="Times New Roman"/>
                <w:lang w:val="es-MX"/>
              </w:rPr>
            </w:pPr>
            <w:r w:rsidRPr="002B428A">
              <w:rPr>
                <w:rFonts w:cs="Times New Roman"/>
                <w:lang w:val="es-MX"/>
              </w:rPr>
              <w:t>Horas destinadas a correcciones documentales</w:t>
            </w:r>
          </w:p>
        </w:tc>
        <w:tc>
          <w:tcPr>
            <w:tcW w:w="0" w:type="auto"/>
            <w:vAlign w:val="center"/>
            <w:hideMark/>
          </w:tcPr>
          <w:p w14:paraId="4FC8D444" w14:textId="77777777" w:rsidR="004030BE" w:rsidRPr="002B428A" w:rsidRDefault="004030BE" w:rsidP="00DB4E8E">
            <w:pPr>
              <w:rPr>
                <w:rFonts w:cs="Times New Roman"/>
                <w:lang w:val="es-MX"/>
              </w:rPr>
            </w:pPr>
            <w:r w:rsidRPr="002B428A">
              <w:rPr>
                <w:rFonts w:cs="Times New Roman"/>
                <w:lang w:val="es-MX"/>
              </w:rPr>
              <w:t>100 %</w:t>
            </w:r>
          </w:p>
        </w:tc>
        <w:tc>
          <w:tcPr>
            <w:tcW w:w="0" w:type="auto"/>
            <w:vAlign w:val="center"/>
            <w:hideMark/>
          </w:tcPr>
          <w:p w14:paraId="66840D7E" w14:textId="77777777" w:rsidR="004030BE" w:rsidRPr="002B428A" w:rsidRDefault="004030BE" w:rsidP="00DB4E8E">
            <w:pPr>
              <w:rPr>
                <w:rFonts w:cs="Times New Roman"/>
                <w:lang w:val="es-MX"/>
              </w:rPr>
            </w:pPr>
            <w:r w:rsidRPr="002B428A">
              <w:rPr>
                <w:rFonts w:cs="Times New Roman"/>
                <w:lang w:val="es-MX"/>
              </w:rPr>
              <w:t>60 %</w:t>
            </w:r>
          </w:p>
        </w:tc>
        <w:tc>
          <w:tcPr>
            <w:tcW w:w="0" w:type="auto"/>
            <w:vAlign w:val="center"/>
            <w:hideMark/>
          </w:tcPr>
          <w:p w14:paraId="73067DFA" w14:textId="77777777" w:rsidR="004030BE" w:rsidRPr="002B428A" w:rsidRDefault="004030BE" w:rsidP="00DB4E8E">
            <w:pPr>
              <w:rPr>
                <w:rFonts w:cs="Times New Roman"/>
                <w:lang w:val="es-MX"/>
              </w:rPr>
            </w:pPr>
            <w:r w:rsidRPr="002B428A">
              <w:rPr>
                <w:rFonts w:cs="Times New Roman"/>
                <w:lang w:val="es-MX"/>
              </w:rPr>
              <w:t>Ahorro del 40 %</w:t>
            </w:r>
          </w:p>
        </w:tc>
      </w:tr>
      <w:tr w:rsidR="004030BE" w:rsidRPr="002B428A" w14:paraId="7787A640" w14:textId="77777777" w:rsidTr="004030BE">
        <w:trPr>
          <w:tblCellSpacing w:w="15" w:type="dxa"/>
        </w:trPr>
        <w:tc>
          <w:tcPr>
            <w:tcW w:w="0" w:type="auto"/>
            <w:vAlign w:val="center"/>
            <w:hideMark/>
          </w:tcPr>
          <w:p w14:paraId="5482B98D" w14:textId="77777777" w:rsidR="004030BE" w:rsidRPr="002B428A" w:rsidRDefault="004030BE" w:rsidP="00DB4E8E">
            <w:pPr>
              <w:rPr>
                <w:rFonts w:cs="Times New Roman"/>
                <w:lang w:val="es-MX"/>
              </w:rPr>
            </w:pPr>
            <w:r w:rsidRPr="002B428A">
              <w:rPr>
                <w:rFonts w:cs="Times New Roman"/>
                <w:lang w:val="es-MX"/>
              </w:rPr>
              <w:t>Ahorro económico anual estimado</w:t>
            </w:r>
          </w:p>
        </w:tc>
        <w:tc>
          <w:tcPr>
            <w:tcW w:w="0" w:type="auto"/>
            <w:vAlign w:val="center"/>
            <w:hideMark/>
          </w:tcPr>
          <w:p w14:paraId="361533E2" w14:textId="4427D86C" w:rsidR="004030BE" w:rsidRPr="002B428A" w:rsidRDefault="004030BE" w:rsidP="00DB4E8E">
            <w:pPr>
              <w:rPr>
                <w:rFonts w:cs="Times New Roman"/>
                <w:lang w:val="es-MX"/>
              </w:rPr>
            </w:pPr>
            <w:r w:rsidRPr="002B428A">
              <w:rPr>
                <w:rFonts w:cs="Times New Roman"/>
                <w:lang w:val="es-MX"/>
              </w:rPr>
              <w:t>-</w:t>
            </w:r>
          </w:p>
        </w:tc>
        <w:tc>
          <w:tcPr>
            <w:tcW w:w="0" w:type="auto"/>
            <w:vAlign w:val="center"/>
            <w:hideMark/>
          </w:tcPr>
          <w:p w14:paraId="667440E3" w14:textId="77777777" w:rsidR="004030BE" w:rsidRPr="002B428A" w:rsidRDefault="004030BE" w:rsidP="00DB4E8E">
            <w:pPr>
              <w:rPr>
                <w:rFonts w:cs="Times New Roman"/>
                <w:lang w:val="es-MX"/>
              </w:rPr>
            </w:pPr>
            <w:r w:rsidRPr="002B428A">
              <w:rPr>
                <w:rFonts w:cs="Times New Roman"/>
                <w:lang w:val="es-MX"/>
              </w:rPr>
              <w:t>USD 15.000–18.000</w:t>
            </w:r>
          </w:p>
        </w:tc>
        <w:tc>
          <w:tcPr>
            <w:tcW w:w="0" w:type="auto"/>
            <w:vAlign w:val="center"/>
            <w:hideMark/>
          </w:tcPr>
          <w:p w14:paraId="14EA31DD" w14:textId="77777777" w:rsidR="004030BE" w:rsidRPr="002B428A" w:rsidRDefault="004030BE" w:rsidP="00DB4E8E">
            <w:pPr>
              <w:rPr>
                <w:rFonts w:cs="Times New Roman"/>
                <w:lang w:val="es-MX"/>
              </w:rPr>
            </w:pPr>
            <w:r w:rsidRPr="002B428A">
              <w:rPr>
                <w:rFonts w:cs="Times New Roman"/>
                <w:lang w:val="es-MX"/>
              </w:rPr>
              <w:t>Reducción de costos administrativos</w:t>
            </w:r>
          </w:p>
        </w:tc>
      </w:tr>
      <w:tr w:rsidR="004030BE" w:rsidRPr="002B428A" w14:paraId="5895E695" w14:textId="77777777" w:rsidTr="004030BE">
        <w:trPr>
          <w:tblCellSpacing w:w="15" w:type="dxa"/>
        </w:trPr>
        <w:tc>
          <w:tcPr>
            <w:tcW w:w="0" w:type="auto"/>
            <w:vAlign w:val="center"/>
            <w:hideMark/>
          </w:tcPr>
          <w:p w14:paraId="2A01E395" w14:textId="77777777" w:rsidR="004030BE" w:rsidRPr="002B428A" w:rsidRDefault="004030BE" w:rsidP="00DB4E8E">
            <w:pPr>
              <w:rPr>
                <w:rFonts w:cs="Times New Roman"/>
                <w:lang w:val="es-MX"/>
              </w:rPr>
            </w:pPr>
            <w:r w:rsidRPr="002B428A">
              <w:rPr>
                <w:rFonts w:cs="Times New Roman"/>
                <w:lang w:val="es-MX"/>
              </w:rPr>
              <w:t>Recuperación de la inversión</w:t>
            </w:r>
          </w:p>
        </w:tc>
        <w:tc>
          <w:tcPr>
            <w:tcW w:w="0" w:type="auto"/>
            <w:vAlign w:val="center"/>
            <w:hideMark/>
          </w:tcPr>
          <w:p w14:paraId="25848833" w14:textId="47A691B5" w:rsidR="004030BE" w:rsidRPr="002B428A" w:rsidRDefault="004030BE" w:rsidP="00DB4E8E">
            <w:pPr>
              <w:rPr>
                <w:rFonts w:cs="Times New Roman"/>
                <w:lang w:val="es-MX"/>
              </w:rPr>
            </w:pPr>
            <w:r w:rsidRPr="002B428A">
              <w:rPr>
                <w:rFonts w:cs="Times New Roman"/>
                <w:lang w:val="es-MX"/>
              </w:rPr>
              <w:t>-</w:t>
            </w:r>
          </w:p>
        </w:tc>
        <w:tc>
          <w:tcPr>
            <w:tcW w:w="0" w:type="auto"/>
            <w:vAlign w:val="center"/>
            <w:hideMark/>
          </w:tcPr>
          <w:p w14:paraId="6869C16D" w14:textId="77777777" w:rsidR="004030BE" w:rsidRPr="002B428A" w:rsidRDefault="004030BE" w:rsidP="00DB4E8E">
            <w:pPr>
              <w:rPr>
                <w:rFonts w:cs="Times New Roman"/>
                <w:lang w:val="es-MX"/>
              </w:rPr>
            </w:pPr>
            <w:r w:rsidRPr="002B428A">
              <w:rPr>
                <w:rFonts w:cs="Times New Roman"/>
                <w:lang w:val="es-MX"/>
              </w:rPr>
              <w:t>12–18 meses</w:t>
            </w:r>
          </w:p>
        </w:tc>
        <w:tc>
          <w:tcPr>
            <w:tcW w:w="0" w:type="auto"/>
            <w:vAlign w:val="center"/>
            <w:hideMark/>
          </w:tcPr>
          <w:p w14:paraId="3C2E5594" w14:textId="77777777" w:rsidR="004030BE" w:rsidRPr="002B428A" w:rsidRDefault="004030BE" w:rsidP="00DB4E8E">
            <w:pPr>
              <w:rPr>
                <w:rFonts w:cs="Times New Roman"/>
                <w:lang w:val="es-MX"/>
              </w:rPr>
            </w:pPr>
            <w:r w:rsidRPr="002B428A">
              <w:rPr>
                <w:rFonts w:cs="Times New Roman"/>
                <w:lang w:val="es-MX"/>
              </w:rPr>
              <w:t>Viabilidad financiera</w:t>
            </w:r>
          </w:p>
        </w:tc>
      </w:tr>
    </w:tbl>
    <w:p w14:paraId="6457A72A" w14:textId="045AA6A1" w:rsidR="22260BAB" w:rsidRPr="0083448F" w:rsidRDefault="00772130" w:rsidP="00DB4E8E">
      <w:pPr>
        <w:jc w:val="both"/>
        <w:rPr>
          <w:rFonts w:cs="Times New Roman"/>
          <w:lang w:val="es-MX"/>
        </w:rPr>
      </w:pPr>
      <w:r w:rsidRPr="002B428A">
        <w:rPr>
          <w:rFonts w:cs="Times New Roman"/>
          <w:b/>
          <w:bCs/>
          <w:i/>
          <w:iCs/>
          <w:lang w:val="es-MX"/>
        </w:rPr>
        <w:t>Nota.</w:t>
      </w:r>
      <w:r w:rsidRPr="002B428A">
        <w:rPr>
          <w:rFonts w:cs="Times New Roman"/>
          <w:i/>
          <w:iCs/>
          <w:lang w:val="es-MX"/>
        </w:rPr>
        <w:t xml:space="preserve"> </w:t>
      </w:r>
      <w:r w:rsidRPr="0083448F">
        <w:rPr>
          <w:rFonts w:cs="Times New Roman"/>
          <w:lang w:val="es-MX"/>
        </w:rPr>
        <w:t xml:space="preserve">Estimaciones elaboradas con base en los resultados de la investigación y en la reducción esperada de </w:t>
      </w:r>
      <w:proofErr w:type="spellStart"/>
      <w:r w:rsidRPr="0083448F">
        <w:rPr>
          <w:rFonts w:cs="Times New Roman"/>
          <w:lang w:val="es-MX"/>
        </w:rPr>
        <w:t>reprocesos</w:t>
      </w:r>
      <w:proofErr w:type="spellEnd"/>
      <w:r w:rsidRPr="0083448F">
        <w:rPr>
          <w:rFonts w:cs="Times New Roman"/>
          <w:lang w:val="es-MX"/>
        </w:rPr>
        <w:t xml:space="preserve"> administrativos derivados de la implementación de la propuesta.</w:t>
      </w:r>
    </w:p>
    <w:p w14:paraId="116F2AEC" w14:textId="0FF7D024" w:rsidR="00653244" w:rsidRPr="002B428A" w:rsidRDefault="005A658B" w:rsidP="00DB4E8E">
      <w:pPr>
        <w:jc w:val="both"/>
        <w:rPr>
          <w:rFonts w:cs="Times New Roman"/>
          <w:b/>
          <w:sz w:val="28"/>
          <w:szCs w:val="28"/>
        </w:rPr>
      </w:pPr>
      <w:r>
        <w:rPr>
          <w:rFonts w:cs="Times New Roman"/>
          <w:b/>
          <w:sz w:val="28"/>
          <w:szCs w:val="28"/>
        </w:rPr>
        <w:t>5</w:t>
      </w:r>
      <w:r w:rsidR="00653244" w:rsidRPr="002B428A">
        <w:rPr>
          <w:rFonts w:cs="Times New Roman"/>
          <w:b/>
          <w:sz w:val="28"/>
          <w:szCs w:val="28"/>
        </w:rPr>
        <w:t>. CONCLUSIÓN</w:t>
      </w:r>
    </w:p>
    <w:p w14:paraId="493C2881" w14:textId="05F76BD9" w:rsidR="002D2C31" w:rsidRPr="002B428A" w:rsidRDefault="002D2C31" w:rsidP="00DB4E8E">
      <w:pPr>
        <w:pStyle w:val="Sangradetextonormal"/>
        <w:spacing w:after="0"/>
        <w:ind w:left="0"/>
        <w:jc w:val="both"/>
        <w:rPr>
          <w:rFonts w:eastAsia="SimSun" w:cs="Times New Roman"/>
          <w:szCs w:val="24"/>
          <w:lang w:val="es-419" w:eastAsia="zh-CN"/>
        </w:rPr>
      </w:pPr>
      <w:r w:rsidRPr="002B428A">
        <w:rPr>
          <w:rFonts w:eastAsia="SimSun" w:cs="Times New Roman"/>
          <w:szCs w:val="24"/>
          <w:lang w:val="es-419" w:eastAsia="zh-CN"/>
        </w:rPr>
        <w:t xml:space="preserve">El análisis integral de la gestión contractual del año 2021 permite concluir, en primera instancia, que el cumplimiento normativo en el GAD de Archidona es actualmente deficitario, lo que se traduce en una seria afectación a la eficiencia de la obra pública local. El hecho de que un </w:t>
      </w:r>
      <w:r w:rsidR="002F7272" w:rsidRPr="002B428A">
        <w:rPr>
          <w:rFonts w:eastAsia="SimSun" w:cs="Times New Roman"/>
          <w:szCs w:val="24"/>
          <w:lang w:val="es-419" w:eastAsia="zh-CN"/>
        </w:rPr>
        <w:t>8</w:t>
      </w:r>
      <w:r w:rsidRPr="002B428A">
        <w:rPr>
          <w:rFonts w:eastAsia="SimSun" w:cs="Times New Roman"/>
          <w:szCs w:val="24"/>
          <w:lang w:val="es-419" w:eastAsia="zh-CN"/>
        </w:rPr>
        <w:t xml:space="preserve">% de los procesos de contratación terminaran desiertos confirma que las debilidades técnicas en la fase preparatoria, especialmente por la falta de formatos estandarizados para los términos de referencia, actúan como un freno institucional que impide que la contratación cumpla su rol de dinamizador del desarrollo. Esta falta de fluidez administrativa se manifiesta también en una capacidad de finalización crítica, donde </w:t>
      </w:r>
      <w:r w:rsidR="002F7272" w:rsidRPr="002B428A">
        <w:rPr>
          <w:rFonts w:eastAsia="SimSun" w:cs="Times New Roman"/>
          <w:szCs w:val="24"/>
          <w:lang w:val="es-419" w:eastAsia="zh-CN"/>
        </w:rPr>
        <w:t xml:space="preserve">ni la mitad de la muestra </w:t>
      </w:r>
      <w:r w:rsidRPr="002B428A">
        <w:rPr>
          <w:rFonts w:eastAsia="SimSun" w:cs="Times New Roman"/>
          <w:szCs w:val="24"/>
          <w:lang w:val="es-419" w:eastAsia="zh-CN"/>
        </w:rPr>
        <w:t>de los proyectos logran concluirse efectivamente, evidenciando que la gran mayoría de los contratos se estancan en etapas intermedias de calificación o ejecución debido a cuellos de botella y procesos de revisión redundantes que no agregan valor a la gestión.</w:t>
      </w:r>
    </w:p>
    <w:p w14:paraId="23EAB727" w14:textId="77777777" w:rsidR="002D2C31" w:rsidRPr="002B428A" w:rsidRDefault="002D2C31" w:rsidP="00DB4E8E">
      <w:pPr>
        <w:pStyle w:val="Sangradetextonormal"/>
        <w:spacing w:after="0"/>
        <w:ind w:left="0"/>
        <w:jc w:val="both"/>
        <w:rPr>
          <w:rFonts w:eastAsia="SimSun" w:cs="Times New Roman"/>
          <w:szCs w:val="24"/>
          <w:lang w:val="es-419" w:eastAsia="zh-CN"/>
        </w:rPr>
      </w:pPr>
      <w:r w:rsidRPr="002B428A">
        <w:rPr>
          <w:rFonts w:eastAsia="SimSun" w:cs="Times New Roman"/>
          <w:szCs w:val="24"/>
          <w:lang w:val="es-419" w:eastAsia="zh-CN"/>
        </w:rPr>
        <w:t>Para superar este escenario, es fundamental que futuras líneas de investigación se enfoquen en un análisis cualitativo de las competencias técnicas de los funcionarios responsables de la contratación. Resulta imperativo entender por qué los mecanismos de autocapacitación obligatorios del Portal de Compras Públicas no están surtiendo efecto en la práctica diaria del GAD, con el fin de diseñar programas de acompañamiento técnico que no solo busquen el cumplimiento de un examen, sino el desarrollo de habilidades prácticas para la elaboración de documentos contractuales de alta calidad. Este problema detectado en Archidona debe vincularse además con un contexto nacional y regional más amplio, donde la debilidad de la cultura organizacional y el cumplimiento normativo "de papel" generan espacios de opacidad que ponen en riesgo la transparencia y la rendición de cuentas. La gestión de la obra pública no es solo un trámite administrativo, sino un pilar de la confianza ciudadana en el Estado, y su fragilidad actual en el ámbito local es un síntoma de la necesidad urgente de fortalecer los sistemas de control interno en todo el sector público ecuatoriano.</w:t>
      </w:r>
    </w:p>
    <w:p w14:paraId="7E812848" w14:textId="77777777" w:rsidR="002D2C31" w:rsidRPr="002B428A" w:rsidRDefault="002D2C31" w:rsidP="00DB4E8E">
      <w:pPr>
        <w:pStyle w:val="Sangradetextonormal"/>
        <w:spacing w:after="0"/>
        <w:ind w:left="0"/>
        <w:jc w:val="both"/>
        <w:rPr>
          <w:rFonts w:eastAsia="SimSun" w:cs="Times New Roman"/>
          <w:szCs w:val="24"/>
          <w:lang w:val="es-419" w:eastAsia="zh-CN"/>
        </w:rPr>
      </w:pPr>
      <w:r w:rsidRPr="002B428A">
        <w:rPr>
          <w:rFonts w:eastAsia="SimSun" w:cs="Times New Roman"/>
          <w:szCs w:val="24"/>
          <w:lang w:val="es-419" w:eastAsia="zh-CN"/>
        </w:rPr>
        <w:t>Finalmente, desde una perspectiva prospectiva, se anticipa que, si el GAD de Archidona no adopta la estandarización de procesos y la actualización normativa como un eje estratégico, la institución enfrentará un incremento sostenido en los costos operativos y una mayor vulnerabilidad ante conflictos legales derivados de terminaciones unilaterales o por mutuo acuerdo. El escenario futuro para el municipio depende de que el cumplimiento normativo deje de verse como un obstáculo burocrático y comience a gestionarse como una herramienta de salvaguarda institucional, asegurando que cada proceso iniciado tenga una ruta clara hacia su finalización exitosa en beneficio de la comunidad.</w:t>
      </w:r>
    </w:p>
    <w:p w14:paraId="3C13E243" w14:textId="77777777" w:rsidR="002D2C31" w:rsidRPr="002B428A" w:rsidRDefault="002D2C31" w:rsidP="002D2C31">
      <w:pPr>
        <w:pStyle w:val="Sangradetextonormal"/>
        <w:spacing w:after="0"/>
        <w:ind w:left="142" w:firstLine="578"/>
        <w:jc w:val="both"/>
        <w:rPr>
          <w:rFonts w:eastAsia="SimSun" w:cs="Times New Roman"/>
          <w:szCs w:val="24"/>
          <w:lang w:val="es-419" w:eastAsia="zh-CN"/>
        </w:rPr>
      </w:pPr>
    </w:p>
    <w:p w14:paraId="23785692" w14:textId="599FCCAD" w:rsidR="003D4D92" w:rsidRPr="002B428A" w:rsidRDefault="003D4D92" w:rsidP="00FA2279">
      <w:pPr>
        <w:jc w:val="both"/>
        <w:rPr>
          <w:rFonts w:cs="Times New Roman"/>
          <w:b/>
          <w:lang w:val="en-GB"/>
        </w:rPr>
      </w:pPr>
      <w:proofErr w:type="spellStart"/>
      <w:r w:rsidRPr="002B428A">
        <w:rPr>
          <w:rFonts w:cs="Times New Roman"/>
          <w:b/>
          <w:lang w:val="en-GB"/>
        </w:rPr>
        <w:t>REFERENCIAS</w:t>
      </w:r>
      <w:proofErr w:type="spellEnd"/>
      <w:r w:rsidRPr="002B428A">
        <w:rPr>
          <w:rFonts w:cs="Times New Roman"/>
          <w:b/>
          <w:lang w:val="en-GB"/>
        </w:rPr>
        <w:t xml:space="preserve"> </w:t>
      </w:r>
      <w:proofErr w:type="spellStart"/>
      <w:r w:rsidRPr="002B428A">
        <w:rPr>
          <w:rFonts w:cs="Times New Roman"/>
          <w:b/>
          <w:lang w:val="en-GB"/>
        </w:rPr>
        <w:t>BIBLIOGRÁFICAS</w:t>
      </w:r>
      <w:proofErr w:type="spellEnd"/>
    </w:p>
    <w:p w14:paraId="16587C78" w14:textId="3B385150" w:rsidR="002D2C31" w:rsidRPr="002B428A" w:rsidRDefault="002D2C31" w:rsidP="00FA2279">
      <w:pPr>
        <w:spacing w:line="276" w:lineRule="auto"/>
        <w:ind w:left="720" w:hanging="720"/>
        <w:jc w:val="both"/>
        <w:rPr>
          <w:rFonts w:cs="Times New Roman"/>
          <w:szCs w:val="24"/>
          <w:lang w:val="en-GB"/>
        </w:rPr>
      </w:pPr>
      <w:r w:rsidRPr="002B428A">
        <w:rPr>
          <w:rFonts w:cs="Times New Roman"/>
          <w:szCs w:val="24"/>
          <w:lang w:val="en-GB"/>
        </w:rPr>
        <w:t xml:space="preserve">Ackerman, J. (2004). Co-governance for accountability: Beyond “exit” and “voice”. </w:t>
      </w:r>
      <w:r w:rsidRPr="002B428A">
        <w:rPr>
          <w:rFonts w:cs="Times New Roman"/>
          <w:i/>
          <w:iCs/>
          <w:szCs w:val="24"/>
          <w:lang w:val="en-GB"/>
        </w:rPr>
        <w:t>World Development, 32</w:t>
      </w:r>
      <w:r w:rsidRPr="002B428A">
        <w:rPr>
          <w:rFonts w:cs="Times New Roman"/>
          <w:szCs w:val="24"/>
          <w:lang w:val="en-GB"/>
        </w:rPr>
        <w:t xml:space="preserve">(3), 447–463. </w:t>
      </w:r>
      <w:hyperlink r:id="rId25" w:history="1">
        <w:r w:rsidR="00156C05" w:rsidRPr="002B428A">
          <w:rPr>
            <w:rStyle w:val="Hipervnculo"/>
            <w:rFonts w:cs="Times New Roman"/>
            <w:szCs w:val="24"/>
            <w:lang w:val="en-GB"/>
          </w:rPr>
          <w:t>https://doi.org/10.1016/j.worlddev.2003.06.015</w:t>
        </w:r>
      </w:hyperlink>
    </w:p>
    <w:p w14:paraId="49C090B7" w14:textId="77777777" w:rsidR="002D2C31" w:rsidRPr="002B428A" w:rsidRDefault="002D2C31" w:rsidP="00FA2279">
      <w:pPr>
        <w:spacing w:line="276" w:lineRule="auto"/>
        <w:ind w:left="720" w:hanging="720"/>
        <w:jc w:val="both"/>
        <w:rPr>
          <w:rFonts w:cs="Times New Roman"/>
          <w:szCs w:val="24"/>
          <w:lang w:val="en-GB"/>
        </w:rPr>
      </w:pPr>
    </w:p>
    <w:p w14:paraId="5BABD24C" w14:textId="77777777" w:rsidR="002D2C31" w:rsidRPr="002B428A" w:rsidRDefault="002D2C31" w:rsidP="00FA2279">
      <w:pPr>
        <w:spacing w:line="276" w:lineRule="auto"/>
        <w:ind w:left="720" w:hanging="720"/>
        <w:jc w:val="both"/>
        <w:rPr>
          <w:rFonts w:cs="Times New Roman"/>
          <w:szCs w:val="24"/>
          <w:lang w:val="es-MX"/>
        </w:rPr>
      </w:pPr>
      <w:r w:rsidRPr="002B428A">
        <w:rPr>
          <w:rFonts w:cs="Times New Roman"/>
          <w:szCs w:val="24"/>
          <w:lang w:val="en-GB"/>
        </w:rPr>
        <w:t xml:space="preserve">Aguilar, L. F. (2017). </w:t>
      </w:r>
      <w:r w:rsidRPr="002B428A">
        <w:rPr>
          <w:rFonts w:cs="Times New Roman"/>
          <w:i/>
          <w:iCs/>
          <w:szCs w:val="24"/>
          <w:lang w:val="es-MX"/>
        </w:rPr>
        <w:t>Gobernanza y gestión pública</w:t>
      </w:r>
      <w:r w:rsidRPr="002B428A">
        <w:rPr>
          <w:rFonts w:cs="Times New Roman"/>
          <w:szCs w:val="24"/>
          <w:lang w:val="es-MX"/>
        </w:rPr>
        <w:t>. Fondo de Cultura Económica.</w:t>
      </w:r>
    </w:p>
    <w:p w14:paraId="4BCEDE6E" w14:textId="77777777" w:rsidR="002D2C31" w:rsidRPr="002B428A" w:rsidRDefault="002D2C31" w:rsidP="00FA2279">
      <w:pPr>
        <w:spacing w:line="276" w:lineRule="auto"/>
        <w:ind w:left="720" w:hanging="720"/>
        <w:jc w:val="both"/>
        <w:rPr>
          <w:rFonts w:cs="Times New Roman"/>
          <w:szCs w:val="24"/>
          <w:lang w:val="es-MX"/>
        </w:rPr>
      </w:pPr>
    </w:p>
    <w:p w14:paraId="69AF8B1E" w14:textId="77777777" w:rsidR="002D2C31" w:rsidRPr="002B428A" w:rsidRDefault="002D2C31" w:rsidP="00FA2279">
      <w:pPr>
        <w:spacing w:line="276" w:lineRule="auto"/>
        <w:ind w:left="720" w:hanging="720"/>
        <w:jc w:val="both"/>
        <w:rPr>
          <w:rFonts w:cs="Times New Roman"/>
          <w:szCs w:val="24"/>
          <w:lang w:val="es-MX"/>
        </w:rPr>
      </w:pPr>
      <w:proofErr w:type="spellStart"/>
      <w:r w:rsidRPr="002B428A">
        <w:rPr>
          <w:rFonts w:cs="Times New Roman"/>
          <w:szCs w:val="24"/>
          <w:lang w:val="en-GB"/>
        </w:rPr>
        <w:t>Arens</w:t>
      </w:r>
      <w:proofErr w:type="spellEnd"/>
      <w:r w:rsidRPr="002B428A">
        <w:rPr>
          <w:rFonts w:cs="Times New Roman"/>
          <w:szCs w:val="24"/>
          <w:lang w:val="en-GB"/>
        </w:rPr>
        <w:t xml:space="preserve">, A. A., Elder, R. J., &amp; Beasley, M. S. (2016). </w:t>
      </w:r>
      <w:r w:rsidRPr="002B428A">
        <w:rPr>
          <w:rFonts w:cs="Times New Roman"/>
          <w:i/>
          <w:iCs/>
          <w:szCs w:val="24"/>
          <w:lang w:val="es-MX"/>
        </w:rPr>
        <w:t>Auditoría: Un enfoque integral</w:t>
      </w:r>
      <w:r w:rsidRPr="002B428A">
        <w:rPr>
          <w:rFonts w:cs="Times New Roman"/>
          <w:szCs w:val="24"/>
          <w:lang w:val="es-MX"/>
        </w:rPr>
        <w:t xml:space="preserve"> (16.ª ed.). Pearson.</w:t>
      </w:r>
    </w:p>
    <w:p w14:paraId="31F46B70" w14:textId="77777777" w:rsidR="002D2C31" w:rsidRPr="002B428A" w:rsidRDefault="002D2C31" w:rsidP="00FA2279">
      <w:pPr>
        <w:spacing w:line="276" w:lineRule="auto"/>
        <w:ind w:left="720" w:hanging="720"/>
        <w:jc w:val="both"/>
        <w:rPr>
          <w:rFonts w:cs="Times New Roman"/>
          <w:szCs w:val="24"/>
          <w:lang w:val="es-MX"/>
        </w:rPr>
      </w:pPr>
    </w:p>
    <w:p w14:paraId="0E78F21E" w14:textId="77777777" w:rsidR="002D2C31" w:rsidRPr="002B428A" w:rsidRDefault="002D2C31" w:rsidP="00FA2279">
      <w:pPr>
        <w:spacing w:line="276" w:lineRule="auto"/>
        <w:ind w:left="720" w:hanging="720"/>
        <w:jc w:val="both"/>
        <w:rPr>
          <w:rFonts w:cs="Times New Roman"/>
          <w:szCs w:val="24"/>
          <w:lang w:val="es-MX"/>
        </w:rPr>
      </w:pPr>
      <w:r w:rsidRPr="002B428A">
        <w:rPr>
          <w:rFonts w:cs="Times New Roman"/>
          <w:szCs w:val="24"/>
          <w:lang w:val="es-MX"/>
        </w:rPr>
        <w:t xml:space="preserve">Bolaños, E. (2019). </w:t>
      </w:r>
      <w:r w:rsidRPr="002B428A">
        <w:rPr>
          <w:rFonts w:cs="Times New Roman"/>
          <w:i/>
          <w:iCs/>
          <w:szCs w:val="24"/>
          <w:lang w:val="es-MX"/>
        </w:rPr>
        <w:t>Contratación pública y gestión de obras en América Latina</w:t>
      </w:r>
      <w:r w:rsidRPr="002B428A">
        <w:rPr>
          <w:rFonts w:cs="Times New Roman"/>
          <w:szCs w:val="24"/>
          <w:lang w:val="es-MX"/>
        </w:rPr>
        <w:t>. Editorial Jurídica.</w:t>
      </w:r>
    </w:p>
    <w:p w14:paraId="598D8419" w14:textId="77777777" w:rsidR="002D2C31" w:rsidRPr="002B428A" w:rsidRDefault="002D2C31" w:rsidP="00FA2279">
      <w:pPr>
        <w:spacing w:line="276" w:lineRule="auto"/>
        <w:ind w:left="720" w:hanging="720"/>
        <w:jc w:val="both"/>
        <w:rPr>
          <w:rFonts w:cs="Times New Roman"/>
          <w:szCs w:val="24"/>
          <w:lang w:val="es-MX"/>
        </w:rPr>
      </w:pPr>
    </w:p>
    <w:p w14:paraId="2698ABF8" w14:textId="20125CE5" w:rsidR="00772130" w:rsidRPr="002B428A" w:rsidRDefault="00772130" w:rsidP="00FA2279">
      <w:pPr>
        <w:spacing w:line="276" w:lineRule="auto"/>
        <w:ind w:left="720" w:hanging="720"/>
        <w:jc w:val="both"/>
        <w:rPr>
          <w:rFonts w:cs="Times New Roman"/>
          <w:szCs w:val="24"/>
          <w:lang w:val="es-MX"/>
        </w:rPr>
      </w:pPr>
      <w:r w:rsidRPr="002B428A">
        <w:rPr>
          <w:rFonts w:cs="Times New Roman"/>
          <w:szCs w:val="24"/>
          <w:lang w:val="es-MX"/>
        </w:rPr>
        <w:t xml:space="preserve">Calle García, A. J., &amp; Calderón García, E. J. (2024). </w:t>
      </w:r>
      <w:r w:rsidRPr="002B428A">
        <w:rPr>
          <w:rFonts w:cs="Times New Roman"/>
          <w:i/>
          <w:iCs/>
          <w:szCs w:val="24"/>
          <w:lang w:val="es-MX"/>
        </w:rPr>
        <w:t xml:space="preserve">El control interno en el proceso de contrataciones del GAD de la parroquia </w:t>
      </w:r>
      <w:proofErr w:type="spellStart"/>
      <w:r w:rsidRPr="002B428A">
        <w:rPr>
          <w:rFonts w:cs="Times New Roman"/>
          <w:i/>
          <w:iCs/>
          <w:szCs w:val="24"/>
          <w:lang w:val="es-MX"/>
        </w:rPr>
        <w:t>Cascol</w:t>
      </w:r>
      <w:proofErr w:type="spellEnd"/>
      <w:r w:rsidRPr="002B428A">
        <w:rPr>
          <w:rFonts w:cs="Times New Roman"/>
          <w:i/>
          <w:iCs/>
          <w:szCs w:val="24"/>
          <w:lang w:val="es-MX"/>
        </w:rPr>
        <w:t>.</w:t>
      </w:r>
      <w:r w:rsidRPr="002B428A">
        <w:rPr>
          <w:rFonts w:cs="Times New Roman"/>
          <w:szCs w:val="24"/>
          <w:lang w:val="es-MX"/>
        </w:rPr>
        <w:t xml:space="preserve"> Ciencia y Desarrollo, 27(4), 291–303. </w:t>
      </w:r>
      <w:hyperlink r:id="rId26" w:history="1">
        <w:r w:rsidRPr="002B428A">
          <w:rPr>
            <w:rStyle w:val="Hipervnculo"/>
            <w:rFonts w:cs="Times New Roman"/>
            <w:szCs w:val="24"/>
            <w:lang w:val="es-MX"/>
          </w:rPr>
          <w:t>https://doi.org/10.21503/cyd.v27i4.2737</w:t>
        </w:r>
      </w:hyperlink>
    </w:p>
    <w:p w14:paraId="55E20242" w14:textId="77777777" w:rsidR="00772130" w:rsidRPr="002B428A" w:rsidRDefault="00772130" w:rsidP="00FA2279">
      <w:pPr>
        <w:spacing w:line="276" w:lineRule="auto"/>
        <w:ind w:left="720" w:hanging="720"/>
        <w:jc w:val="both"/>
        <w:rPr>
          <w:rFonts w:cs="Times New Roman"/>
          <w:szCs w:val="24"/>
          <w:lang w:val="es-MX"/>
        </w:rPr>
      </w:pPr>
    </w:p>
    <w:p w14:paraId="50ED11CF" w14:textId="77777777" w:rsidR="002D2C31" w:rsidRPr="002B428A" w:rsidRDefault="002D2C31" w:rsidP="00FA2279">
      <w:pPr>
        <w:spacing w:line="276" w:lineRule="auto"/>
        <w:ind w:left="720" w:hanging="720"/>
        <w:jc w:val="both"/>
        <w:rPr>
          <w:rFonts w:cs="Times New Roman"/>
          <w:szCs w:val="24"/>
          <w:lang w:val="en-GB"/>
        </w:rPr>
      </w:pPr>
      <w:proofErr w:type="spellStart"/>
      <w:r w:rsidRPr="002B428A">
        <w:rPr>
          <w:rFonts w:cs="Times New Roman"/>
          <w:szCs w:val="24"/>
          <w:lang w:val="es-MX"/>
        </w:rPr>
        <w:t>Chiavenato</w:t>
      </w:r>
      <w:proofErr w:type="spellEnd"/>
      <w:r w:rsidRPr="002B428A">
        <w:rPr>
          <w:rFonts w:cs="Times New Roman"/>
          <w:szCs w:val="24"/>
          <w:lang w:val="es-MX"/>
        </w:rPr>
        <w:t xml:space="preserve">, I. (2014). </w:t>
      </w:r>
      <w:r w:rsidRPr="002B428A">
        <w:rPr>
          <w:rFonts w:cs="Times New Roman"/>
          <w:i/>
          <w:iCs/>
          <w:szCs w:val="24"/>
          <w:lang w:val="es-MX"/>
        </w:rPr>
        <w:t>Introducción a la teoría general de la administración</w:t>
      </w:r>
      <w:r w:rsidRPr="002B428A">
        <w:rPr>
          <w:rFonts w:cs="Times New Roman"/>
          <w:szCs w:val="24"/>
          <w:lang w:val="es-MX"/>
        </w:rPr>
        <w:t xml:space="preserve"> (9.ª ed.). </w:t>
      </w:r>
      <w:r w:rsidRPr="002B428A">
        <w:rPr>
          <w:rFonts w:cs="Times New Roman"/>
          <w:szCs w:val="24"/>
          <w:lang w:val="en-GB"/>
        </w:rPr>
        <w:t>McGraw-Hill.</w:t>
      </w:r>
    </w:p>
    <w:p w14:paraId="2CC851E0" w14:textId="77777777" w:rsidR="002D2C31" w:rsidRPr="002B428A" w:rsidRDefault="002D2C31" w:rsidP="00FA2279">
      <w:pPr>
        <w:spacing w:line="276" w:lineRule="auto"/>
        <w:ind w:left="720" w:hanging="720"/>
        <w:jc w:val="both"/>
        <w:rPr>
          <w:rFonts w:cs="Times New Roman"/>
          <w:szCs w:val="24"/>
          <w:lang w:val="en-GB"/>
        </w:rPr>
      </w:pPr>
    </w:p>
    <w:p w14:paraId="31D112C8" w14:textId="77777777" w:rsidR="002D2C31" w:rsidRPr="002B428A" w:rsidRDefault="002D2C31" w:rsidP="00FA2279">
      <w:pPr>
        <w:spacing w:line="276" w:lineRule="auto"/>
        <w:ind w:left="720" w:hanging="720"/>
        <w:jc w:val="both"/>
        <w:rPr>
          <w:rFonts w:cs="Times New Roman"/>
          <w:szCs w:val="24"/>
          <w:lang w:val="es-MX"/>
        </w:rPr>
      </w:pPr>
      <w:r w:rsidRPr="002B428A">
        <w:rPr>
          <w:rFonts w:cs="Times New Roman"/>
          <w:szCs w:val="24"/>
          <w:lang w:val="en-GB"/>
        </w:rPr>
        <w:t xml:space="preserve">Committee of Sponsoring </w:t>
      </w:r>
      <w:proofErr w:type="spellStart"/>
      <w:r w:rsidRPr="002B428A">
        <w:rPr>
          <w:rFonts w:cs="Times New Roman"/>
          <w:szCs w:val="24"/>
          <w:lang w:val="en-GB"/>
        </w:rPr>
        <w:t>Organizations</w:t>
      </w:r>
      <w:proofErr w:type="spellEnd"/>
      <w:r w:rsidRPr="002B428A">
        <w:rPr>
          <w:rFonts w:cs="Times New Roman"/>
          <w:szCs w:val="24"/>
          <w:lang w:val="en-GB"/>
        </w:rPr>
        <w:t xml:space="preserve"> of the </w:t>
      </w:r>
      <w:proofErr w:type="spellStart"/>
      <w:r w:rsidRPr="002B428A">
        <w:rPr>
          <w:rFonts w:cs="Times New Roman"/>
          <w:szCs w:val="24"/>
          <w:lang w:val="en-GB"/>
        </w:rPr>
        <w:t>Treadway</w:t>
      </w:r>
      <w:proofErr w:type="spellEnd"/>
      <w:r w:rsidRPr="002B428A">
        <w:rPr>
          <w:rFonts w:cs="Times New Roman"/>
          <w:szCs w:val="24"/>
          <w:lang w:val="en-GB"/>
        </w:rPr>
        <w:t xml:space="preserve"> Commission (COSO). </w:t>
      </w:r>
      <w:r w:rsidRPr="002B428A">
        <w:rPr>
          <w:rFonts w:cs="Times New Roman"/>
          <w:szCs w:val="24"/>
          <w:lang w:val="es-MX"/>
        </w:rPr>
        <w:t xml:space="preserve">(2013). </w:t>
      </w:r>
      <w:proofErr w:type="spellStart"/>
      <w:r w:rsidRPr="002B428A">
        <w:rPr>
          <w:rFonts w:cs="Times New Roman"/>
          <w:i/>
          <w:iCs/>
          <w:szCs w:val="24"/>
          <w:lang w:val="es-MX"/>
        </w:rPr>
        <w:t>Internal</w:t>
      </w:r>
      <w:proofErr w:type="spellEnd"/>
      <w:r w:rsidRPr="002B428A">
        <w:rPr>
          <w:rFonts w:cs="Times New Roman"/>
          <w:i/>
          <w:iCs/>
          <w:szCs w:val="24"/>
          <w:lang w:val="es-MX"/>
        </w:rPr>
        <w:t xml:space="preserve"> control—</w:t>
      </w:r>
      <w:proofErr w:type="spellStart"/>
      <w:r w:rsidRPr="002B428A">
        <w:rPr>
          <w:rFonts w:cs="Times New Roman"/>
          <w:i/>
          <w:iCs/>
          <w:szCs w:val="24"/>
          <w:lang w:val="es-MX"/>
        </w:rPr>
        <w:t>Integrated</w:t>
      </w:r>
      <w:proofErr w:type="spellEnd"/>
      <w:r w:rsidRPr="002B428A">
        <w:rPr>
          <w:rFonts w:cs="Times New Roman"/>
          <w:i/>
          <w:iCs/>
          <w:szCs w:val="24"/>
          <w:lang w:val="es-MX"/>
        </w:rPr>
        <w:t xml:space="preserve"> framework</w:t>
      </w:r>
      <w:r w:rsidRPr="002B428A">
        <w:rPr>
          <w:rFonts w:cs="Times New Roman"/>
          <w:szCs w:val="24"/>
          <w:lang w:val="es-MX"/>
        </w:rPr>
        <w:t>. COSO.</w:t>
      </w:r>
    </w:p>
    <w:p w14:paraId="5739B212" w14:textId="77777777" w:rsidR="002D2C31" w:rsidRPr="002B428A" w:rsidRDefault="002D2C31" w:rsidP="00FA2279">
      <w:pPr>
        <w:spacing w:line="276" w:lineRule="auto"/>
        <w:ind w:left="720" w:hanging="720"/>
        <w:jc w:val="both"/>
        <w:rPr>
          <w:rFonts w:cs="Times New Roman"/>
          <w:szCs w:val="24"/>
          <w:lang w:val="es-MX"/>
        </w:rPr>
      </w:pPr>
    </w:p>
    <w:sdt>
      <w:sdtPr>
        <w:rPr>
          <w:rFonts w:eastAsia="Arial" w:cs="Times New Roman"/>
          <w:szCs w:val="24"/>
          <w:lang w:eastAsia="es-PE"/>
        </w:rPr>
        <w:id w:val="-573587230"/>
        <w:bibliography/>
      </w:sdtPr>
      <w:sdtEndPr>
        <w:rPr>
          <w:rFonts w:eastAsia="Calibri"/>
          <w:lang w:val="es-MX" w:eastAsia="es-CO"/>
        </w:rPr>
      </w:sdtEndPr>
      <w:sdtContent>
        <w:p w14:paraId="67CDCA9C" w14:textId="77777777" w:rsidR="002D2C31" w:rsidRPr="002B428A" w:rsidRDefault="002D2C31" w:rsidP="00FA2279">
          <w:pPr>
            <w:pStyle w:val="Bibliografa"/>
            <w:spacing w:line="276" w:lineRule="auto"/>
            <w:ind w:left="720" w:hanging="720"/>
            <w:jc w:val="both"/>
            <w:rPr>
              <w:rFonts w:cs="Times New Roman"/>
              <w:b/>
              <w:bCs/>
              <w:szCs w:val="24"/>
            </w:rPr>
          </w:pPr>
          <w:r w:rsidRPr="002B428A">
            <w:rPr>
              <w:rFonts w:eastAsiaTheme="minorHAnsi" w:cs="Times New Roman"/>
              <w:szCs w:val="24"/>
              <w:lang w:val="es-PE" w:eastAsia="en-US"/>
            </w:rPr>
            <w:fldChar w:fldCharType="begin"/>
          </w:r>
          <w:r w:rsidRPr="002B428A">
            <w:rPr>
              <w:rFonts w:cs="Times New Roman"/>
              <w:szCs w:val="24"/>
            </w:rPr>
            <w:instrText>BIBLIOGRAPHY</w:instrText>
          </w:r>
          <w:r w:rsidRPr="002B428A">
            <w:rPr>
              <w:rFonts w:eastAsiaTheme="minorHAnsi" w:cs="Times New Roman"/>
              <w:szCs w:val="24"/>
              <w:lang w:val="es-PE" w:eastAsia="en-US"/>
            </w:rPr>
            <w:fldChar w:fldCharType="separate"/>
          </w:r>
          <w:r w:rsidRPr="002B428A">
            <w:rPr>
              <w:rFonts w:cs="Times New Roman"/>
              <w:noProof/>
              <w:szCs w:val="24"/>
              <w:lang w:val="es-ES"/>
            </w:rPr>
            <w:t xml:space="preserve">Contraloría General del Estado. (3 de julio de 2025). </w:t>
          </w:r>
          <w:r w:rsidRPr="002B428A">
            <w:rPr>
              <w:rFonts w:cs="Times New Roman"/>
              <w:i/>
              <w:iCs/>
              <w:noProof/>
              <w:szCs w:val="24"/>
              <w:lang w:val="es-ES"/>
            </w:rPr>
            <w:t>Historia</w:t>
          </w:r>
          <w:r w:rsidRPr="002B428A">
            <w:rPr>
              <w:rFonts w:cs="Times New Roman"/>
              <w:noProof/>
              <w:szCs w:val="24"/>
              <w:lang w:val="es-ES"/>
            </w:rPr>
            <w:t>. Recuperado el 02 de febrero de 2026, de https://www.contraloria.gob.ec/lainstitucion/historia/historiacge</w:t>
          </w:r>
          <w:r w:rsidRPr="002B428A">
            <w:rPr>
              <w:rFonts w:cs="Times New Roman"/>
              <w:b/>
              <w:bCs/>
              <w:szCs w:val="24"/>
            </w:rPr>
            <w:fldChar w:fldCharType="end"/>
          </w:r>
        </w:p>
        <w:p w14:paraId="2F5FAE19" w14:textId="77777777" w:rsidR="00FA2279" w:rsidRPr="002B428A" w:rsidRDefault="00FA2279" w:rsidP="00FA2279">
          <w:pPr>
            <w:spacing w:line="276" w:lineRule="auto"/>
            <w:ind w:left="720" w:hanging="720"/>
            <w:jc w:val="both"/>
            <w:rPr>
              <w:rFonts w:cs="Times New Roman"/>
              <w:szCs w:val="24"/>
              <w:lang w:val="es-MX"/>
            </w:rPr>
          </w:pPr>
        </w:p>
        <w:p w14:paraId="3CCA61AA" w14:textId="1AEC61AF" w:rsidR="002D2C31" w:rsidRPr="00EF704C" w:rsidRDefault="007D3082" w:rsidP="00FA2279">
          <w:pPr>
            <w:spacing w:line="276" w:lineRule="auto"/>
            <w:ind w:left="720" w:hanging="720"/>
            <w:jc w:val="both"/>
            <w:rPr>
              <w:rFonts w:cs="Times New Roman"/>
              <w:szCs w:val="24"/>
              <w:lang w:val="en-GB"/>
            </w:rPr>
          </w:pPr>
          <w:proofErr w:type="spellStart"/>
          <w:r w:rsidRPr="002B428A">
            <w:rPr>
              <w:rFonts w:cs="Times New Roman"/>
              <w:szCs w:val="24"/>
              <w:lang w:val="es-MX"/>
            </w:rPr>
            <w:t>Hernández-Sampieri</w:t>
          </w:r>
          <w:proofErr w:type="spellEnd"/>
          <w:r w:rsidRPr="002B428A">
            <w:rPr>
              <w:rFonts w:cs="Times New Roman"/>
              <w:szCs w:val="24"/>
              <w:lang w:val="es-MX"/>
            </w:rPr>
            <w:t>, R., &amp; Mendoza, C. (20</w:t>
          </w:r>
          <w:r w:rsidR="00FA2279" w:rsidRPr="002B428A">
            <w:rPr>
              <w:rFonts w:cs="Times New Roman"/>
              <w:szCs w:val="24"/>
              <w:lang w:val="es-MX"/>
            </w:rPr>
            <w:t>18</w:t>
          </w:r>
          <w:r w:rsidRPr="002B428A">
            <w:rPr>
              <w:rFonts w:cs="Times New Roman"/>
              <w:szCs w:val="24"/>
              <w:lang w:val="es-MX"/>
            </w:rPr>
            <w:t xml:space="preserve">). Metodología de la investigación: Las rutas cuantitativa, cualitativa y mixta (2.ª ed.). </w:t>
          </w:r>
          <w:r w:rsidRPr="00EF704C">
            <w:rPr>
              <w:rFonts w:cs="Times New Roman"/>
              <w:szCs w:val="24"/>
              <w:lang w:val="en-GB"/>
            </w:rPr>
            <w:t>McGraw-Hill.</w:t>
          </w:r>
          <w:r w:rsidR="00FA2279" w:rsidRPr="00EF704C">
            <w:rPr>
              <w:rFonts w:cs="Times New Roman"/>
              <w:szCs w:val="24"/>
              <w:lang w:val="en-GB"/>
            </w:rPr>
            <w:t xml:space="preserve"> </w:t>
          </w:r>
          <w:hyperlink r:id="rId27" w:history="1">
            <w:r w:rsidR="00FA2279" w:rsidRPr="00EF704C">
              <w:rPr>
                <w:rStyle w:val="Hipervnculo"/>
                <w:rFonts w:cs="Times New Roman"/>
                <w:szCs w:val="24"/>
                <w:lang w:val="en-GB"/>
              </w:rPr>
              <w:t>https://doi.org/10.22201/fesc.20072236e.2019.10.18.6</w:t>
            </w:r>
          </w:hyperlink>
        </w:p>
      </w:sdtContent>
    </w:sdt>
    <w:p w14:paraId="7D925423" w14:textId="77777777" w:rsidR="002D2C31" w:rsidRPr="00EF704C" w:rsidRDefault="002D2C31" w:rsidP="00FA2279">
      <w:pPr>
        <w:spacing w:line="276" w:lineRule="auto"/>
        <w:ind w:left="720" w:hanging="720"/>
        <w:jc w:val="both"/>
        <w:rPr>
          <w:rFonts w:cs="Times New Roman"/>
          <w:szCs w:val="24"/>
          <w:lang w:val="en-GB"/>
        </w:rPr>
      </w:pPr>
    </w:p>
    <w:p w14:paraId="3B119CE3" w14:textId="77777777" w:rsidR="002D2C31" w:rsidRPr="002B428A" w:rsidRDefault="002D2C31" w:rsidP="00FA2279">
      <w:pPr>
        <w:spacing w:line="276" w:lineRule="auto"/>
        <w:ind w:left="720" w:hanging="720"/>
        <w:jc w:val="both"/>
        <w:rPr>
          <w:rFonts w:cs="Times New Roman"/>
          <w:szCs w:val="24"/>
          <w:lang w:val="es-MX"/>
        </w:rPr>
      </w:pPr>
      <w:r w:rsidRPr="00EF704C">
        <w:rPr>
          <w:rFonts w:cs="Times New Roman"/>
          <w:szCs w:val="24"/>
          <w:lang w:val="en-GB"/>
        </w:rPr>
        <w:t xml:space="preserve">Mantilla, S. A. (2015). </w:t>
      </w:r>
      <w:r w:rsidRPr="002B428A">
        <w:rPr>
          <w:rFonts w:cs="Times New Roman"/>
          <w:i/>
          <w:iCs/>
          <w:szCs w:val="24"/>
          <w:lang w:val="es-MX"/>
        </w:rPr>
        <w:t>Control interno: Informe COSO</w:t>
      </w:r>
      <w:r w:rsidRPr="002B428A">
        <w:rPr>
          <w:rFonts w:cs="Times New Roman"/>
          <w:szCs w:val="24"/>
          <w:lang w:val="es-MX"/>
        </w:rPr>
        <w:t xml:space="preserve">. </w:t>
      </w:r>
      <w:proofErr w:type="spellStart"/>
      <w:r w:rsidRPr="002B428A">
        <w:rPr>
          <w:rFonts w:cs="Times New Roman"/>
          <w:szCs w:val="24"/>
          <w:lang w:val="es-MX"/>
        </w:rPr>
        <w:t>Ecoe</w:t>
      </w:r>
      <w:proofErr w:type="spellEnd"/>
      <w:r w:rsidRPr="002B428A">
        <w:rPr>
          <w:rFonts w:cs="Times New Roman"/>
          <w:szCs w:val="24"/>
          <w:lang w:val="es-MX"/>
        </w:rPr>
        <w:t xml:space="preserve"> Ediciones.</w:t>
      </w:r>
    </w:p>
    <w:p w14:paraId="56FE84E5" w14:textId="77777777" w:rsidR="00194CBD" w:rsidRPr="002B428A" w:rsidRDefault="00194CBD" w:rsidP="00FA2279">
      <w:pPr>
        <w:spacing w:line="276" w:lineRule="auto"/>
        <w:ind w:left="720" w:hanging="720"/>
        <w:jc w:val="both"/>
        <w:rPr>
          <w:rFonts w:cs="Times New Roman"/>
          <w:szCs w:val="24"/>
          <w:lang w:val="es-MX"/>
        </w:rPr>
      </w:pPr>
    </w:p>
    <w:p w14:paraId="19606F1C" w14:textId="68938E1B" w:rsidR="00194CBD" w:rsidRPr="002B428A" w:rsidRDefault="00194CBD" w:rsidP="00FA2279">
      <w:pPr>
        <w:pStyle w:val="Bibliografa"/>
        <w:spacing w:line="276" w:lineRule="auto"/>
        <w:ind w:left="720" w:hanging="720"/>
        <w:jc w:val="both"/>
        <w:rPr>
          <w:rFonts w:cs="Times New Roman"/>
          <w:noProof/>
          <w:szCs w:val="24"/>
          <w:lang w:val="es-ES"/>
        </w:rPr>
      </w:pPr>
      <w:r w:rsidRPr="002B428A">
        <w:rPr>
          <w:rFonts w:cs="Times New Roman"/>
          <w:noProof/>
          <w:szCs w:val="24"/>
          <w:lang w:val="es-ES"/>
        </w:rPr>
        <w:t xml:space="preserve">Ochsenius Robinson, I. (2022). Mecanismos de control interno para la contratación pública: ejemplos prácticos propuestos por órganos internacionales y países de la Unión Europea, entre otros destacados. En Tratado de derecho público comparado: contratos públicos (pp. 461-506). Olejnik. </w:t>
      </w:r>
      <w:hyperlink r:id="rId28" w:history="1">
        <w:r w:rsidR="00E62EFE" w:rsidRPr="002B428A">
          <w:rPr>
            <w:rStyle w:val="Hipervnculo"/>
            <w:rFonts w:cs="Times New Roman"/>
            <w:noProof/>
            <w:szCs w:val="24"/>
            <w:lang w:val="es-ES"/>
          </w:rPr>
          <w:t>https://vlex.cl/vid/capitulo-xx-mecanismos-control-1016869743</w:t>
        </w:r>
      </w:hyperlink>
    </w:p>
    <w:p w14:paraId="4FEB2BEB" w14:textId="77777777" w:rsidR="00E62EFE" w:rsidRPr="002B428A" w:rsidRDefault="00E62EFE" w:rsidP="00FA2279">
      <w:pPr>
        <w:spacing w:line="276" w:lineRule="auto"/>
        <w:jc w:val="both"/>
        <w:rPr>
          <w:rFonts w:cs="Times New Roman"/>
          <w:szCs w:val="24"/>
          <w:lang w:val="es-ES" w:eastAsia="es-EC"/>
        </w:rPr>
      </w:pPr>
    </w:p>
    <w:p w14:paraId="777A3BC4" w14:textId="47EEA74F" w:rsidR="00E62EFE" w:rsidRPr="002B428A" w:rsidRDefault="00E62EFE" w:rsidP="00FA2279">
      <w:pPr>
        <w:pStyle w:val="Bibliografa"/>
        <w:spacing w:line="276" w:lineRule="auto"/>
        <w:ind w:left="720" w:hanging="720"/>
        <w:jc w:val="both"/>
        <w:rPr>
          <w:rFonts w:cs="Times New Roman"/>
          <w:noProof/>
          <w:szCs w:val="24"/>
          <w:lang w:val="es-ES"/>
        </w:rPr>
      </w:pPr>
      <w:r w:rsidRPr="002B428A">
        <w:rPr>
          <w:rFonts w:cs="Times New Roman"/>
          <w:noProof/>
          <w:szCs w:val="24"/>
          <w:lang w:val="es-ES"/>
        </w:rPr>
        <w:t xml:space="preserve">Oficina Independiente de Regulación y Supervisión de la Contratación. (2025). Informe anual de supervisión 2025. Módulo X: Los órganos de control en materia de contratación pública: El control interno económico-financiero y el control externo. Ministerio de Hacienda. </w:t>
      </w:r>
      <w:hyperlink r:id="rId29" w:tgtFrame="_new" w:history="1">
        <w:r w:rsidRPr="002B428A">
          <w:rPr>
            <w:rFonts w:cs="Times New Roman"/>
            <w:noProof/>
            <w:szCs w:val="24"/>
            <w:lang w:val="es-ES"/>
          </w:rPr>
          <w:t>https://www.hacienda.gob.es/rsc/oirescon/informe-anual-supervision-2025/ias2025-modulo10.pdf</w:t>
        </w:r>
      </w:hyperlink>
    </w:p>
    <w:p w14:paraId="707C93AB" w14:textId="77777777" w:rsidR="002D2C31" w:rsidRPr="002B428A" w:rsidRDefault="002D2C31" w:rsidP="00FA2279">
      <w:pPr>
        <w:spacing w:line="276" w:lineRule="auto"/>
        <w:ind w:left="720" w:hanging="720"/>
        <w:jc w:val="both"/>
        <w:rPr>
          <w:rFonts w:cs="Times New Roman"/>
          <w:szCs w:val="24"/>
          <w:lang w:val="es-MX"/>
        </w:rPr>
      </w:pPr>
    </w:p>
    <w:p w14:paraId="2DBC7A0C" w14:textId="77777777" w:rsidR="002D2C31" w:rsidRPr="002B428A" w:rsidRDefault="002D2C31" w:rsidP="00FA2279">
      <w:pPr>
        <w:spacing w:line="276" w:lineRule="auto"/>
        <w:ind w:left="720" w:hanging="720"/>
        <w:jc w:val="both"/>
        <w:rPr>
          <w:rFonts w:cs="Times New Roman"/>
          <w:szCs w:val="24"/>
        </w:rPr>
      </w:pPr>
      <w:r w:rsidRPr="002B428A">
        <w:rPr>
          <w:rFonts w:cs="Times New Roman"/>
          <w:szCs w:val="24"/>
          <w:lang w:val="en-GB"/>
        </w:rPr>
        <w:t xml:space="preserve">Organisation for Economic Co-operation and Development (OECD). (2017). </w:t>
      </w:r>
      <w:r w:rsidRPr="002B428A">
        <w:rPr>
          <w:rFonts w:cs="Times New Roman"/>
          <w:i/>
          <w:iCs/>
          <w:szCs w:val="24"/>
          <w:lang w:val="en-GB"/>
        </w:rPr>
        <w:t>Public procurement for innovation: Good practices and strategies</w:t>
      </w:r>
      <w:r w:rsidRPr="002B428A">
        <w:rPr>
          <w:rFonts w:cs="Times New Roman"/>
          <w:szCs w:val="24"/>
          <w:lang w:val="en-GB"/>
        </w:rPr>
        <w:t xml:space="preserve">. </w:t>
      </w:r>
      <w:r w:rsidRPr="002B428A">
        <w:rPr>
          <w:rFonts w:cs="Times New Roman"/>
          <w:szCs w:val="24"/>
          <w:lang w:val="es-MX"/>
        </w:rPr>
        <w:t xml:space="preserve">OECD </w:t>
      </w:r>
      <w:proofErr w:type="spellStart"/>
      <w:r w:rsidRPr="002B428A">
        <w:rPr>
          <w:rFonts w:cs="Times New Roman"/>
          <w:szCs w:val="24"/>
          <w:lang w:val="es-MX"/>
        </w:rPr>
        <w:t>Publishing</w:t>
      </w:r>
      <w:proofErr w:type="spellEnd"/>
      <w:r w:rsidRPr="002B428A">
        <w:rPr>
          <w:rFonts w:cs="Times New Roman"/>
          <w:szCs w:val="24"/>
          <w:lang w:val="es-MX"/>
        </w:rPr>
        <w:t xml:space="preserve">. </w:t>
      </w:r>
      <w:hyperlink r:id="rId30" w:tgtFrame="_new" w:history="1">
        <w:r w:rsidRPr="002B428A">
          <w:rPr>
            <w:rStyle w:val="Hipervnculo"/>
            <w:rFonts w:cs="Times New Roman"/>
            <w:szCs w:val="24"/>
            <w:lang w:val="es-MX"/>
          </w:rPr>
          <w:t>https://doi.org/10.1787/9789264265820-en</w:t>
        </w:r>
      </w:hyperlink>
    </w:p>
    <w:p w14:paraId="2AC4D213" w14:textId="77777777" w:rsidR="002D2C31" w:rsidRPr="002B428A" w:rsidRDefault="002D2C31" w:rsidP="00FA2279">
      <w:pPr>
        <w:spacing w:line="276" w:lineRule="auto"/>
        <w:ind w:left="720" w:hanging="720"/>
        <w:jc w:val="both"/>
        <w:rPr>
          <w:rFonts w:cs="Times New Roman"/>
          <w:szCs w:val="24"/>
          <w:lang w:val="es-MX"/>
        </w:rPr>
      </w:pPr>
    </w:p>
    <w:p w14:paraId="32A2E013" w14:textId="77777777" w:rsidR="002D2C31" w:rsidRPr="002B428A" w:rsidRDefault="002D2C31" w:rsidP="00FA2279">
      <w:pPr>
        <w:spacing w:line="276" w:lineRule="auto"/>
        <w:ind w:left="720" w:hanging="720"/>
        <w:jc w:val="both"/>
        <w:rPr>
          <w:rFonts w:cs="Times New Roman"/>
          <w:szCs w:val="24"/>
          <w:lang w:val="es-MX"/>
        </w:rPr>
      </w:pPr>
      <w:r w:rsidRPr="002B428A">
        <w:rPr>
          <w:rFonts w:cs="Times New Roman"/>
          <w:szCs w:val="24"/>
          <w:lang w:val="es-MX"/>
        </w:rPr>
        <w:t xml:space="preserve">Ponce, J. (2020). Problemas en la estandarización de procesos en la contratación pública. </w:t>
      </w:r>
      <w:r w:rsidRPr="002B428A">
        <w:rPr>
          <w:rFonts w:cs="Times New Roman"/>
          <w:i/>
          <w:iCs/>
          <w:szCs w:val="24"/>
          <w:lang w:val="es-MX"/>
        </w:rPr>
        <w:t>Revista de Administración Pública, 52</w:t>
      </w:r>
      <w:r w:rsidRPr="002B428A">
        <w:rPr>
          <w:rFonts w:cs="Times New Roman"/>
          <w:szCs w:val="24"/>
          <w:lang w:val="es-MX"/>
        </w:rPr>
        <w:t>(2), 115–130.</w:t>
      </w:r>
    </w:p>
    <w:p w14:paraId="52CDF9DF" w14:textId="77777777" w:rsidR="002D2C31" w:rsidRPr="002B428A" w:rsidRDefault="002D2C31" w:rsidP="00FA2279">
      <w:pPr>
        <w:spacing w:line="276" w:lineRule="auto"/>
        <w:ind w:left="720" w:hanging="720"/>
        <w:jc w:val="both"/>
        <w:rPr>
          <w:rFonts w:cs="Times New Roman"/>
          <w:szCs w:val="24"/>
          <w:lang w:val="es-MX"/>
        </w:rPr>
      </w:pPr>
    </w:p>
    <w:p w14:paraId="4D70256B" w14:textId="2937A6E7" w:rsidR="002D2C31" w:rsidRPr="002B428A" w:rsidRDefault="00847BDA" w:rsidP="00FA2279">
      <w:pPr>
        <w:spacing w:line="276" w:lineRule="auto"/>
        <w:ind w:left="720" w:hanging="720"/>
        <w:jc w:val="both"/>
        <w:rPr>
          <w:rFonts w:cs="Times New Roman"/>
          <w:szCs w:val="24"/>
          <w:lang w:val="es-MX"/>
        </w:rPr>
      </w:pPr>
      <w:r w:rsidRPr="002B428A">
        <w:rPr>
          <w:rFonts w:cs="Times New Roman"/>
          <w:szCs w:val="24"/>
          <w:lang w:val="es-MX"/>
        </w:rPr>
        <w:t>Mendoza</w:t>
      </w:r>
      <w:r w:rsidR="002D2C31" w:rsidRPr="002B428A">
        <w:rPr>
          <w:rFonts w:cs="Times New Roman"/>
          <w:szCs w:val="24"/>
          <w:lang w:val="es-MX"/>
        </w:rPr>
        <w:t xml:space="preserve">, </w:t>
      </w:r>
      <w:r w:rsidRPr="002B428A">
        <w:rPr>
          <w:rFonts w:cs="Times New Roman"/>
          <w:szCs w:val="24"/>
          <w:lang w:val="es-MX"/>
        </w:rPr>
        <w:t>W</w:t>
      </w:r>
      <w:r w:rsidR="002D2C31" w:rsidRPr="002B428A">
        <w:rPr>
          <w:rFonts w:cs="Times New Roman"/>
          <w:szCs w:val="24"/>
          <w:lang w:val="es-MX"/>
        </w:rPr>
        <w:t xml:space="preserve">., </w:t>
      </w:r>
      <w:r w:rsidRPr="002B428A">
        <w:rPr>
          <w:rFonts w:cs="Times New Roman"/>
          <w:szCs w:val="24"/>
          <w:lang w:val="es-MX"/>
        </w:rPr>
        <w:t>García</w:t>
      </w:r>
      <w:r w:rsidR="002D2C31" w:rsidRPr="002B428A">
        <w:rPr>
          <w:rFonts w:cs="Times New Roman"/>
          <w:szCs w:val="24"/>
          <w:lang w:val="es-MX"/>
        </w:rPr>
        <w:t xml:space="preserve">, </w:t>
      </w:r>
      <w:r w:rsidRPr="002B428A">
        <w:rPr>
          <w:rFonts w:cs="Times New Roman"/>
          <w:szCs w:val="24"/>
          <w:lang w:val="es-MX"/>
        </w:rPr>
        <w:t>P</w:t>
      </w:r>
      <w:r w:rsidR="002D2C31" w:rsidRPr="002B428A">
        <w:rPr>
          <w:rFonts w:cs="Times New Roman"/>
          <w:szCs w:val="24"/>
          <w:lang w:val="es-MX"/>
        </w:rPr>
        <w:t xml:space="preserve">., </w:t>
      </w:r>
      <w:r w:rsidRPr="002B428A">
        <w:rPr>
          <w:rFonts w:cs="Times New Roman"/>
          <w:szCs w:val="24"/>
          <w:lang w:val="es-MX"/>
        </w:rPr>
        <w:t>Delgado</w:t>
      </w:r>
      <w:r w:rsidR="002D2C31" w:rsidRPr="002B428A">
        <w:rPr>
          <w:rFonts w:cs="Times New Roman"/>
          <w:szCs w:val="24"/>
          <w:lang w:val="es-MX"/>
        </w:rPr>
        <w:t>,</w:t>
      </w:r>
      <w:r w:rsidRPr="002B428A">
        <w:rPr>
          <w:rFonts w:cs="Times New Roman"/>
          <w:szCs w:val="24"/>
          <w:lang w:val="es-MX"/>
        </w:rPr>
        <w:t xml:space="preserve"> M</w:t>
      </w:r>
      <w:r w:rsidR="002D2C31" w:rsidRPr="002B428A">
        <w:rPr>
          <w:rFonts w:cs="Times New Roman"/>
          <w:szCs w:val="24"/>
          <w:lang w:val="es-MX"/>
        </w:rPr>
        <w:t>.</w:t>
      </w:r>
      <w:r w:rsidRPr="002B428A">
        <w:rPr>
          <w:rFonts w:cs="Times New Roman"/>
          <w:szCs w:val="24"/>
          <w:lang w:val="es-MX"/>
        </w:rPr>
        <w:t xml:space="preserve"> &amp;</w:t>
      </w:r>
      <w:r w:rsidR="002D2C31" w:rsidRPr="002B428A">
        <w:rPr>
          <w:rFonts w:cs="Times New Roman"/>
          <w:szCs w:val="24"/>
          <w:lang w:val="es-MX"/>
        </w:rPr>
        <w:t xml:space="preserve"> </w:t>
      </w:r>
      <w:r w:rsidRPr="002B428A">
        <w:rPr>
          <w:rFonts w:cs="Times New Roman"/>
          <w:szCs w:val="24"/>
          <w:lang w:val="es-MX"/>
        </w:rPr>
        <w:t>Barreiro</w:t>
      </w:r>
      <w:r w:rsidR="002D2C31" w:rsidRPr="002B428A">
        <w:rPr>
          <w:rFonts w:cs="Times New Roman"/>
          <w:szCs w:val="24"/>
          <w:lang w:val="es-MX"/>
        </w:rPr>
        <w:t xml:space="preserve">, </w:t>
      </w:r>
      <w:r w:rsidRPr="002B428A">
        <w:rPr>
          <w:rFonts w:cs="Times New Roman"/>
          <w:szCs w:val="24"/>
          <w:lang w:val="es-MX"/>
        </w:rPr>
        <w:t>I</w:t>
      </w:r>
      <w:r w:rsidR="002D2C31" w:rsidRPr="002B428A">
        <w:rPr>
          <w:rFonts w:cs="Times New Roman"/>
          <w:szCs w:val="24"/>
          <w:lang w:val="es-MX"/>
        </w:rPr>
        <w:t>.</w:t>
      </w:r>
      <w:r w:rsidRPr="002B428A">
        <w:rPr>
          <w:rFonts w:cs="Times New Roman"/>
          <w:szCs w:val="24"/>
          <w:lang w:val="es-MX"/>
        </w:rPr>
        <w:t xml:space="preserve"> </w:t>
      </w:r>
      <w:r w:rsidR="002D2C31" w:rsidRPr="002B428A">
        <w:rPr>
          <w:rFonts w:cs="Times New Roman"/>
          <w:szCs w:val="24"/>
          <w:lang w:val="es-MX"/>
        </w:rPr>
        <w:t xml:space="preserve">(2018). El control interno y su influencia en la gestión administrativa del sector público. </w:t>
      </w:r>
      <w:r w:rsidR="002D2C31" w:rsidRPr="002B428A">
        <w:rPr>
          <w:rFonts w:cs="Times New Roman"/>
          <w:i/>
          <w:iCs/>
          <w:szCs w:val="24"/>
          <w:lang w:val="es-MX"/>
        </w:rPr>
        <w:t>Revista Científica y Tecnológica, 22</w:t>
      </w:r>
      <w:r w:rsidR="002D2C31" w:rsidRPr="002B428A">
        <w:rPr>
          <w:rFonts w:cs="Times New Roman"/>
          <w:szCs w:val="24"/>
          <w:lang w:val="es-MX"/>
        </w:rPr>
        <w:t>(3), 45–56.</w:t>
      </w:r>
      <w:r w:rsidR="00FA2279" w:rsidRPr="002B428A">
        <w:rPr>
          <w:rFonts w:cs="Times New Roman"/>
          <w:szCs w:val="24"/>
          <w:lang w:val="es-MX"/>
        </w:rPr>
        <w:t xml:space="preserve"> </w:t>
      </w:r>
      <w:hyperlink r:id="rId31" w:history="1">
        <w:r w:rsidR="00FA2279" w:rsidRPr="002B428A">
          <w:rPr>
            <w:rStyle w:val="Hipervnculo"/>
            <w:rFonts w:cs="Times New Roman"/>
            <w:szCs w:val="24"/>
            <w:lang w:val="es-MX"/>
          </w:rPr>
          <w:t>https://doi.org/10.23857/dc.v4i4.835</w:t>
        </w:r>
      </w:hyperlink>
    </w:p>
    <w:p w14:paraId="35D26429" w14:textId="77777777" w:rsidR="002D2C31" w:rsidRPr="002B428A" w:rsidRDefault="002D2C31" w:rsidP="00FA2279">
      <w:pPr>
        <w:spacing w:line="276" w:lineRule="auto"/>
        <w:ind w:left="720" w:hanging="720"/>
        <w:jc w:val="both"/>
        <w:rPr>
          <w:rFonts w:cs="Times New Roman"/>
          <w:szCs w:val="24"/>
          <w:lang w:val="es-MX"/>
        </w:rPr>
      </w:pPr>
    </w:p>
    <w:p w14:paraId="6182E31F" w14:textId="77777777" w:rsidR="002D2C31" w:rsidRPr="002B428A" w:rsidRDefault="002D2C31" w:rsidP="00FA2279">
      <w:pPr>
        <w:spacing w:line="276" w:lineRule="auto"/>
        <w:ind w:left="720" w:hanging="720"/>
        <w:jc w:val="both"/>
        <w:rPr>
          <w:rFonts w:cs="Times New Roman"/>
          <w:szCs w:val="24"/>
          <w:lang w:val="es-MX"/>
        </w:rPr>
      </w:pPr>
      <w:r w:rsidRPr="002B428A">
        <w:rPr>
          <w:rFonts w:cs="Times New Roman"/>
          <w:szCs w:val="24"/>
          <w:lang w:val="es-MX"/>
        </w:rPr>
        <w:t xml:space="preserve">Ramírez, J. (2018). Burocracia y eficiencia en la administración pública latinoamericana. </w:t>
      </w:r>
      <w:r w:rsidRPr="002B428A">
        <w:rPr>
          <w:rFonts w:cs="Times New Roman"/>
          <w:i/>
          <w:iCs/>
          <w:szCs w:val="24"/>
          <w:lang w:val="es-MX"/>
        </w:rPr>
        <w:t>Revista de Gestión Pública, 10</w:t>
      </w:r>
      <w:r w:rsidRPr="002B428A">
        <w:rPr>
          <w:rFonts w:cs="Times New Roman"/>
          <w:szCs w:val="24"/>
          <w:lang w:val="es-MX"/>
        </w:rPr>
        <w:t>(1), 67–85.</w:t>
      </w:r>
    </w:p>
    <w:p w14:paraId="727D6259" w14:textId="77777777" w:rsidR="002D2C31" w:rsidRPr="002B428A" w:rsidRDefault="002D2C31" w:rsidP="00FA2279">
      <w:pPr>
        <w:spacing w:line="276" w:lineRule="auto"/>
        <w:ind w:left="720" w:hanging="720"/>
        <w:jc w:val="both"/>
        <w:rPr>
          <w:rFonts w:cs="Times New Roman"/>
          <w:szCs w:val="24"/>
          <w:lang w:val="es-MX"/>
        </w:rPr>
      </w:pPr>
    </w:p>
    <w:p w14:paraId="1B53B28B" w14:textId="440CE839" w:rsidR="002D2C31" w:rsidRPr="002B428A" w:rsidRDefault="002D2C31" w:rsidP="00FA2279">
      <w:pPr>
        <w:pStyle w:val="Bibliografa"/>
        <w:spacing w:line="276" w:lineRule="auto"/>
        <w:ind w:left="720" w:hanging="720"/>
        <w:jc w:val="both"/>
        <w:rPr>
          <w:rFonts w:cs="Times New Roman"/>
          <w:noProof/>
          <w:szCs w:val="24"/>
          <w:lang w:val="es-ES"/>
        </w:rPr>
      </w:pPr>
      <w:r w:rsidRPr="002B428A">
        <w:rPr>
          <w:rFonts w:cs="Times New Roman"/>
          <w:noProof/>
          <w:szCs w:val="24"/>
          <w:lang w:val="es-ES"/>
        </w:rPr>
        <w:t xml:space="preserve">Superintendencia de Control del Poder de Mercado. (30 de octubre de 2015). </w:t>
      </w:r>
      <w:r w:rsidRPr="002B428A">
        <w:rPr>
          <w:rFonts w:cs="Times New Roman"/>
          <w:i/>
          <w:iCs/>
          <w:noProof/>
          <w:szCs w:val="24"/>
          <w:lang w:val="es-ES"/>
        </w:rPr>
        <w:t>Estudio de Compras Públicas y Competencia en el Ecuador</w:t>
      </w:r>
      <w:r w:rsidRPr="002B428A">
        <w:rPr>
          <w:rFonts w:cs="Times New Roman"/>
          <w:noProof/>
          <w:szCs w:val="24"/>
          <w:lang w:val="es-ES"/>
        </w:rPr>
        <w:t xml:space="preserve">. Recuperado el 03 de febrero de 2026, de </w:t>
      </w:r>
      <w:hyperlink r:id="rId32" w:history="1">
        <w:r w:rsidR="00B37543" w:rsidRPr="002B428A">
          <w:rPr>
            <w:rStyle w:val="Hipervnculo"/>
            <w:rFonts w:cs="Times New Roman"/>
            <w:noProof/>
            <w:szCs w:val="24"/>
            <w:lang w:val="es-ES"/>
          </w:rPr>
          <w:t>https://www.scpm.gob.ec/sitio/wpcontent/uploads/2019/02/Estudio-contratacion-publica.pdf</w:t>
        </w:r>
      </w:hyperlink>
    </w:p>
    <w:p w14:paraId="6FB2CFFB" w14:textId="77777777" w:rsidR="002D2C31" w:rsidRPr="002B428A" w:rsidRDefault="002D2C31" w:rsidP="00FA2279">
      <w:pPr>
        <w:spacing w:line="276" w:lineRule="auto"/>
        <w:jc w:val="both"/>
        <w:rPr>
          <w:rFonts w:cs="Times New Roman"/>
          <w:szCs w:val="24"/>
          <w:lang w:val="es-ES" w:eastAsia="es-EC"/>
        </w:rPr>
      </w:pPr>
    </w:p>
    <w:p w14:paraId="75500B4D" w14:textId="77777777" w:rsidR="002D2C31" w:rsidRPr="002B428A" w:rsidRDefault="002D2C31" w:rsidP="00FA2279">
      <w:pPr>
        <w:spacing w:line="276" w:lineRule="auto"/>
        <w:ind w:left="720" w:hanging="720"/>
        <w:jc w:val="both"/>
        <w:rPr>
          <w:rFonts w:cs="Times New Roman"/>
          <w:szCs w:val="24"/>
        </w:rPr>
      </w:pPr>
      <w:r w:rsidRPr="002B428A">
        <w:rPr>
          <w:rFonts w:cs="Times New Roman"/>
          <w:szCs w:val="24"/>
          <w:lang w:val="es-MX"/>
        </w:rPr>
        <w:t xml:space="preserve">Transparencia Internacional. (2020). </w:t>
      </w:r>
      <w:r w:rsidRPr="002B428A">
        <w:rPr>
          <w:rFonts w:cs="Times New Roman"/>
          <w:i/>
          <w:iCs/>
          <w:szCs w:val="24"/>
          <w:lang w:val="es-MX"/>
        </w:rPr>
        <w:t>Índice de percepción de la corrupción 2020</w:t>
      </w:r>
      <w:r w:rsidRPr="002B428A">
        <w:rPr>
          <w:rFonts w:cs="Times New Roman"/>
          <w:szCs w:val="24"/>
          <w:lang w:val="es-MX"/>
        </w:rPr>
        <w:t xml:space="preserve">. </w:t>
      </w:r>
      <w:hyperlink r:id="rId33" w:tgtFrame="_new" w:history="1">
        <w:r w:rsidRPr="002B428A">
          <w:rPr>
            <w:rStyle w:val="Hipervnculo"/>
            <w:rFonts w:cs="Times New Roman"/>
            <w:szCs w:val="24"/>
            <w:lang w:val="es-MX"/>
          </w:rPr>
          <w:t>https://www.transparency.org</w:t>
        </w:r>
      </w:hyperlink>
    </w:p>
    <w:p w14:paraId="40EF05E2" w14:textId="77777777" w:rsidR="002D2C31" w:rsidRPr="002B428A" w:rsidRDefault="002D2C31" w:rsidP="00FA2279">
      <w:pPr>
        <w:spacing w:line="276" w:lineRule="auto"/>
        <w:ind w:left="720" w:hanging="720"/>
        <w:jc w:val="both"/>
        <w:rPr>
          <w:rFonts w:cs="Times New Roman"/>
          <w:szCs w:val="24"/>
          <w:lang w:val="es-MX"/>
        </w:rPr>
      </w:pPr>
    </w:p>
    <w:p w14:paraId="1ACE9085" w14:textId="77777777" w:rsidR="002D2C31" w:rsidRPr="002B428A" w:rsidRDefault="002D2C31" w:rsidP="00FA2279">
      <w:pPr>
        <w:spacing w:line="276" w:lineRule="auto"/>
        <w:ind w:left="720" w:hanging="720"/>
        <w:jc w:val="both"/>
        <w:rPr>
          <w:rFonts w:cs="Times New Roman"/>
          <w:szCs w:val="24"/>
          <w:lang w:val="es-MX"/>
        </w:rPr>
      </w:pPr>
      <w:proofErr w:type="spellStart"/>
      <w:r w:rsidRPr="002B428A">
        <w:rPr>
          <w:rFonts w:cs="Times New Roman"/>
          <w:szCs w:val="24"/>
          <w:lang w:val="es-MX"/>
        </w:rPr>
        <w:t>Villoria</w:t>
      </w:r>
      <w:proofErr w:type="spellEnd"/>
      <w:r w:rsidRPr="002B428A">
        <w:rPr>
          <w:rFonts w:cs="Times New Roman"/>
          <w:szCs w:val="24"/>
          <w:lang w:val="es-MX"/>
        </w:rPr>
        <w:t xml:space="preserve">, M. (2016). Transparencia y buen gobierno en la gestión pública. </w:t>
      </w:r>
      <w:r w:rsidRPr="002B428A">
        <w:rPr>
          <w:rFonts w:cs="Times New Roman"/>
          <w:i/>
          <w:iCs/>
          <w:szCs w:val="24"/>
          <w:lang w:val="es-MX"/>
        </w:rPr>
        <w:t>Revista Española de Ciencia Política, 40</w:t>
      </w:r>
      <w:r w:rsidRPr="002B428A">
        <w:rPr>
          <w:rFonts w:cs="Times New Roman"/>
          <w:szCs w:val="24"/>
          <w:lang w:val="es-MX"/>
        </w:rPr>
        <w:t>, 13–34.</w:t>
      </w:r>
    </w:p>
    <w:p w14:paraId="18DD29A5" w14:textId="77777777" w:rsidR="002D2C31" w:rsidRPr="002B428A" w:rsidRDefault="002D2C31" w:rsidP="00FA2279">
      <w:pPr>
        <w:spacing w:line="276" w:lineRule="auto"/>
        <w:ind w:left="720" w:hanging="720"/>
        <w:jc w:val="both"/>
        <w:rPr>
          <w:rFonts w:cs="Times New Roman"/>
          <w:szCs w:val="24"/>
          <w:lang w:val="es-MX"/>
        </w:rPr>
      </w:pPr>
    </w:p>
    <w:p w14:paraId="018B086D" w14:textId="64F0AE74" w:rsidR="002D2C31" w:rsidRPr="002B428A" w:rsidRDefault="002D2C31" w:rsidP="00FA2279">
      <w:pPr>
        <w:spacing w:line="276" w:lineRule="auto"/>
        <w:ind w:left="720" w:hanging="720"/>
        <w:jc w:val="both"/>
        <w:rPr>
          <w:rFonts w:cs="Times New Roman"/>
          <w:szCs w:val="24"/>
          <w:lang w:val="es-MX"/>
        </w:rPr>
      </w:pPr>
      <w:proofErr w:type="spellStart"/>
      <w:r w:rsidRPr="002B428A">
        <w:rPr>
          <w:rFonts w:cs="Times New Roman"/>
          <w:szCs w:val="24"/>
          <w:lang w:val="es-MX"/>
        </w:rPr>
        <w:t>Viscarra</w:t>
      </w:r>
      <w:proofErr w:type="spellEnd"/>
      <w:r w:rsidRPr="002B428A">
        <w:rPr>
          <w:rFonts w:cs="Times New Roman"/>
          <w:szCs w:val="24"/>
          <w:lang w:val="es-MX"/>
        </w:rPr>
        <w:t xml:space="preserve">, </w:t>
      </w:r>
      <w:r w:rsidR="00FA2279" w:rsidRPr="002B428A">
        <w:rPr>
          <w:rFonts w:cs="Times New Roman"/>
          <w:szCs w:val="24"/>
          <w:lang w:val="es-MX"/>
        </w:rPr>
        <w:t>O</w:t>
      </w:r>
      <w:r w:rsidRPr="002B428A">
        <w:rPr>
          <w:rFonts w:cs="Times New Roman"/>
          <w:szCs w:val="24"/>
          <w:lang w:val="es-MX"/>
        </w:rPr>
        <w:t xml:space="preserve">. (2021). Evolución de la contratación pública en el Ecuador. </w:t>
      </w:r>
      <w:r w:rsidRPr="002B428A">
        <w:rPr>
          <w:rFonts w:cs="Times New Roman"/>
          <w:i/>
          <w:iCs/>
          <w:szCs w:val="24"/>
          <w:lang w:val="es-MX"/>
        </w:rPr>
        <w:t>Revista Jurídica del Ecuador, 15</w:t>
      </w:r>
      <w:r w:rsidRPr="002B428A">
        <w:rPr>
          <w:rFonts w:cs="Times New Roman"/>
          <w:szCs w:val="24"/>
          <w:lang w:val="es-MX"/>
        </w:rPr>
        <w:t>(1), 89–105.</w:t>
      </w:r>
      <w:r w:rsidR="00FA2279" w:rsidRPr="002B428A">
        <w:rPr>
          <w:rFonts w:cs="Times New Roman"/>
          <w:szCs w:val="24"/>
        </w:rPr>
        <w:t xml:space="preserve"> </w:t>
      </w:r>
      <w:hyperlink r:id="rId34" w:history="1">
        <w:r w:rsidR="00FA2279" w:rsidRPr="002B428A">
          <w:rPr>
            <w:rStyle w:val="Hipervnculo"/>
            <w:rFonts w:cs="Times New Roman"/>
            <w:szCs w:val="24"/>
            <w:lang w:val="es-MX"/>
          </w:rPr>
          <w:t>https://repositorio.uasb.edu.ec/items/26f923ae-326b-425f-bfb8-980b16594568</w:t>
        </w:r>
      </w:hyperlink>
    </w:p>
    <w:p w14:paraId="6DE11598" w14:textId="77777777" w:rsidR="002D2C31" w:rsidRPr="002B428A" w:rsidRDefault="002D2C31" w:rsidP="00FA2279">
      <w:pPr>
        <w:spacing w:line="276" w:lineRule="auto"/>
        <w:ind w:left="720" w:hanging="720"/>
        <w:jc w:val="both"/>
        <w:rPr>
          <w:rFonts w:cs="Times New Roman"/>
          <w:szCs w:val="24"/>
          <w:lang w:val="es-MX"/>
        </w:rPr>
      </w:pPr>
    </w:p>
    <w:p w14:paraId="61237666" w14:textId="7F335A85" w:rsidR="002D2C31" w:rsidRPr="002B428A" w:rsidRDefault="002D2C31" w:rsidP="00FA2279">
      <w:pPr>
        <w:pStyle w:val="Bibliografa"/>
        <w:spacing w:line="276" w:lineRule="auto"/>
        <w:ind w:left="720" w:hanging="720"/>
        <w:jc w:val="both"/>
        <w:rPr>
          <w:rFonts w:cs="Times New Roman"/>
          <w:noProof/>
          <w:szCs w:val="24"/>
          <w:lang w:val="es-ES"/>
        </w:rPr>
      </w:pPr>
      <w:r w:rsidRPr="002B428A">
        <w:rPr>
          <w:rFonts w:cs="Times New Roman"/>
          <w:noProof/>
          <w:szCs w:val="24"/>
          <w:lang w:val="es-ES"/>
        </w:rPr>
        <w:t>Villaprado, J. (202</w:t>
      </w:r>
      <w:r w:rsidR="00B37543" w:rsidRPr="002B428A">
        <w:rPr>
          <w:rFonts w:cs="Times New Roman"/>
          <w:noProof/>
          <w:szCs w:val="24"/>
          <w:lang w:val="es-ES"/>
        </w:rPr>
        <w:t>5</w:t>
      </w:r>
      <w:r w:rsidRPr="002B428A">
        <w:rPr>
          <w:rFonts w:cs="Times New Roman"/>
          <w:noProof/>
          <w:szCs w:val="24"/>
          <w:lang w:val="es-ES"/>
        </w:rPr>
        <w:t xml:space="preserve">). </w:t>
      </w:r>
      <w:r w:rsidRPr="002B428A">
        <w:rPr>
          <w:rFonts w:cs="Times New Roman"/>
          <w:i/>
          <w:iCs/>
          <w:noProof/>
          <w:szCs w:val="24"/>
          <w:lang w:val="es-ES"/>
        </w:rPr>
        <w:t>El proceso Administrativo en la ejecución de proyectos del departamento de obras públicas del Gobierno Autónomo Descentralizado Municipal de Portoviejo.</w:t>
      </w:r>
      <w:r w:rsidRPr="002B428A">
        <w:rPr>
          <w:rFonts w:cs="Times New Roman"/>
          <w:noProof/>
          <w:szCs w:val="24"/>
          <w:lang w:val="es-ES"/>
        </w:rPr>
        <w:t xml:space="preserve"> Jipijapa: Universidad Estatal del Sur de Manabí UNESUM.</w:t>
      </w:r>
      <w:r w:rsidR="00B37543" w:rsidRPr="002B428A">
        <w:rPr>
          <w:rFonts w:cs="Times New Roman"/>
          <w:noProof/>
          <w:szCs w:val="24"/>
          <w:lang w:val="es-ES"/>
        </w:rPr>
        <w:t xml:space="preserve"> </w:t>
      </w:r>
      <w:hyperlink r:id="rId35" w:history="1">
        <w:r w:rsidR="00B37543" w:rsidRPr="002B428A">
          <w:rPr>
            <w:rStyle w:val="Hipervnculo"/>
            <w:rFonts w:cs="Times New Roman"/>
            <w:noProof/>
            <w:szCs w:val="24"/>
            <w:lang w:val="es-ES"/>
          </w:rPr>
          <w:t>https://repositorio.unesum.edu.ec/handle/53000/7423</w:t>
        </w:r>
      </w:hyperlink>
    </w:p>
    <w:sdt>
      <w:sdtPr>
        <w:rPr>
          <w:rFonts w:cs="Times New Roman"/>
          <w:szCs w:val="24"/>
        </w:rPr>
        <w:id w:val="111145805"/>
        <w:bibliography/>
      </w:sdtPr>
      <w:sdtEndPr/>
      <w:sdtContent>
        <w:sdt>
          <w:sdtPr>
            <w:rPr>
              <w:rFonts w:cs="Times New Roman"/>
              <w:szCs w:val="24"/>
            </w:rPr>
            <w:id w:val="881515884"/>
            <w:showingPlcHdr/>
            <w:bibliography/>
          </w:sdtPr>
          <w:sdtEndPr/>
          <w:sdtContent>
            <w:p w14:paraId="5B015FAF" w14:textId="202431D5" w:rsidR="003D4D92" w:rsidRPr="002B428A" w:rsidRDefault="002D2C31" w:rsidP="00FA2279">
              <w:pPr>
                <w:pStyle w:val="Bibliografa"/>
                <w:spacing w:line="276" w:lineRule="auto"/>
                <w:jc w:val="both"/>
                <w:rPr>
                  <w:rFonts w:cs="Times New Roman"/>
                  <w:szCs w:val="24"/>
                </w:rPr>
              </w:pPr>
              <w:r w:rsidRPr="002B428A">
                <w:rPr>
                  <w:rFonts w:cs="Times New Roman"/>
                  <w:szCs w:val="24"/>
                </w:rPr>
                <w:t xml:space="preserve">     </w:t>
              </w:r>
            </w:p>
          </w:sdtContent>
        </w:sdt>
      </w:sdtContent>
    </w:sdt>
    <w:p w14:paraId="6B2827D6" w14:textId="77777777" w:rsidR="002B428A" w:rsidRPr="002B428A" w:rsidRDefault="002B428A" w:rsidP="002B428A">
      <w:pPr>
        <w:spacing w:line="276" w:lineRule="auto"/>
        <w:jc w:val="both"/>
        <w:rPr>
          <w:rFonts w:eastAsia="Times New Roman" w:cs="Times New Roman"/>
          <w:szCs w:val="24"/>
        </w:rPr>
      </w:pPr>
      <w:r w:rsidRPr="002B428A">
        <w:rPr>
          <w:rFonts w:eastAsia="Times New Roman" w:cs="Times New Roman"/>
          <w:b/>
          <w:bCs/>
          <w:szCs w:val="24"/>
        </w:rPr>
        <w:t>CONFLICTO DE INTERESES</w:t>
      </w:r>
    </w:p>
    <w:p w14:paraId="7E8D299C" w14:textId="77777777" w:rsidR="002B428A" w:rsidRPr="002B428A" w:rsidRDefault="002B428A" w:rsidP="002B428A">
      <w:pPr>
        <w:spacing w:line="276" w:lineRule="auto"/>
        <w:jc w:val="both"/>
        <w:rPr>
          <w:rFonts w:eastAsia="Times New Roman" w:cs="Times New Roman"/>
          <w:szCs w:val="24"/>
        </w:rPr>
      </w:pPr>
      <w:r w:rsidRPr="002B428A">
        <w:rPr>
          <w:rFonts w:eastAsia="Times New Roman" w:cs="Times New Roman"/>
          <w:szCs w:val="24"/>
        </w:rPr>
        <w:t>No existe.</w:t>
      </w:r>
    </w:p>
    <w:p w14:paraId="4F4E75B0" w14:textId="77777777" w:rsidR="002B428A" w:rsidRDefault="002B428A" w:rsidP="002B428A">
      <w:pPr>
        <w:spacing w:line="276" w:lineRule="auto"/>
        <w:jc w:val="both"/>
        <w:rPr>
          <w:rFonts w:eastAsia="Times New Roman" w:cs="Times New Roman"/>
          <w:b/>
          <w:bCs/>
          <w:szCs w:val="24"/>
        </w:rPr>
      </w:pPr>
    </w:p>
    <w:p w14:paraId="08824308" w14:textId="0E7C3D75" w:rsidR="002B428A" w:rsidRPr="002B428A" w:rsidRDefault="002B428A" w:rsidP="002B428A">
      <w:pPr>
        <w:spacing w:line="276" w:lineRule="auto"/>
        <w:jc w:val="both"/>
        <w:rPr>
          <w:rFonts w:eastAsia="Times New Roman" w:cs="Times New Roman"/>
          <w:szCs w:val="24"/>
        </w:rPr>
      </w:pPr>
      <w:r w:rsidRPr="002B428A">
        <w:rPr>
          <w:rFonts w:eastAsia="Times New Roman" w:cs="Times New Roman"/>
          <w:b/>
          <w:bCs/>
          <w:szCs w:val="24"/>
        </w:rPr>
        <w:t>FINANCIAMIENTO</w:t>
      </w:r>
    </w:p>
    <w:p w14:paraId="0852390A" w14:textId="77777777" w:rsidR="002B428A" w:rsidRPr="002B428A" w:rsidRDefault="002B428A" w:rsidP="002B428A">
      <w:pPr>
        <w:spacing w:line="276" w:lineRule="auto"/>
        <w:jc w:val="both"/>
        <w:rPr>
          <w:rFonts w:eastAsia="Times New Roman" w:cs="Times New Roman"/>
          <w:szCs w:val="24"/>
        </w:rPr>
      </w:pPr>
      <w:r w:rsidRPr="002B428A">
        <w:rPr>
          <w:rFonts w:eastAsia="Times New Roman" w:cs="Times New Roman"/>
          <w:szCs w:val="24"/>
        </w:rPr>
        <w:t>No aplica.</w:t>
      </w:r>
    </w:p>
    <w:p w14:paraId="488A6291" w14:textId="77777777" w:rsidR="002B428A" w:rsidRDefault="002B428A" w:rsidP="002B428A">
      <w:pPr>
        <w:spacing w:line="276" w:lineRule="auto"/>
        <w:jc w:val="both"/>
        <w:rPr>
          <w:rFonts w:eastAsia="Times New Roman" w:cs="Times New Roman"/>
          <w:b/>
          <w:bCs/>
          <w:szCs w:val="24"/>
        </w:rPr>
      </w:pPr>
    </w:p>
    <w:p w14:paraId="5562F1C6" w14:textId="1005C605" w:rsidR="002B428A" w:rsidRPr="002B428A" w:rsidRDefault="002B428A" w:rsidP="002B428A">
      <w:pPr>
        <w:spacing w:line="276" w:lineRule="auto"/>
        <w:jc w:val="both"/>
        <w:rPr>
          <w:rFonts w:eastAsia="Times New Roman" w:cs="Times New Roman"/>
          <w:szCs w:val="24"/>
        </w:rPr>
      </w:pPr>
      <w:r w:rsidRPr="002B428A">
        <w:rPr>
          <w:rFonts w:eastAsia="Times New Roman" w:cs="Times New Roman"/>
          <w:b/>
          <w:bCs/>
          <w:szCs w:val="24"/>
        </w:rPr>
        <w:t>CONTRIBUCIÓN DE AUTORÍA</w:t>
      </w:r>
    </w:p>
    <w:p w14:paraId="4FE21B29" w14:textId="77777777" w:rsidR="002B428A" w:rsidRPr="002B428A" w:rsidRDefault="002B428A" w:rsidP="002B428A">
      <w:pPr>
        <w:spacing w:line="276" w:lineRule="auto"/>
        <w:jc w:val="both"/>
        <w:rPr>
          <w:rFonts w:eastAsia="Times New Roman" w:cs="Times New Roman"/>
          <w:szCs w:val="24"/>
        </w:rPr>
      </w:pPr>
      <w:r w:rsidRPr="002B428A">
        <w:rPr>
          <w:rFonts w:eastAsia="Times New Roman" w:cs="Times New Roman"/>
          <w:szCs w:val="24"/>
        </w:rPr>
        <w:t>Conceptualización: Jessica Patricia Chiliquinga Cando, Jessica Verónica Calapucha Vargas.</w:t>
      </w:r>
    </w:p>
    <w:p w14:paraId="3038D2C1" w14:textId="77777777" w:rsidR="002B428A" w:rsidRPr="002B428A" w:rsidRDefault="002B428A" w:rsidP="002B428A">
      <w:pPr>
        <w:spacing w:line="276" w:lineRule="auto"/>
        <w:jc w:val="both"/>
        <w:rPr>
          <w:rFonts w:eastAsia="Times New Roman" w:cs="Times New Roman"/>
          <w:szCs w:val="24"/>
        </w:rPr>
      </w:pPr>
      <w:r w:rsidRPr="002B428A">
        <w:rPr>
          <w:rFonts w:eastAsia="Times New Roman" w:cs="Times New Roman"/>
          <w:szCs w:val="24"/>
        </w:rPr>
        <w:t>Metodología: Willian Paul Aviles Quiñonez, Dailit Gonzalez Capote.</w:t>
      </w:r>
    </w:p>
    <w:p w14:paraId="0EFA0E4F" w14:textId="77777777" w:rsidR="002B428A" w:rsidRPr="002B428A" w:rsidRDefault="002B428A" w:rsidP="002B428A">
      <w:pPr>
        <w:spacing w:line="276" w:lineRule="auto"/>
        <w:jc w:val="both"/>
        <w:rPr>
          <w:rFonts w:eastAsia="Times New Roman" w:cs="Times New Roman"/>
          <w:szCs w:val="24"/>
        </w:rPr>
      </w:pPr>
      <w:r w:rsidRPr="002B428A">
        <w:rPr>
          <w:rFonts w:eastAsia="Times New Roman" w:cs="Times New Roman"/>
          <w:szCs w:val="24"/>
        </w:rPr>
        <w:t>Investigación: Jessica Patricia Chiliquinga Cando, Jessica Verónica Calapucha Vargas, Willian Paul Aviles Quiñonez, Dailit Gonzalez Capote.</w:t>
      </w:r>
    </w:p>
    <w:p w14:paraId="2A039829" w14:textId="77777777" w:rsidR="002B428A" w:rsidRPr="002B428A" w:rsidRDefault="002B428A" w:rsidP="002B428A">
      <w:pPr>
        <w:spacing w:line="276" w:lineRule="auto"/>
        <w:jc w:val="both"/>
        <w:rPr>
          <w:rFonts w:eastAsia="Times New Roman" w:cs="Times New Roman"/>
          <w:szCs w:val="24"/>
        </w:rPr>
      </w:pPr>
      <w:r w:rsidRPr="002B428A">
        <w:rPr>
          <w:rFonts w:eastAsia="Times New Roman" w:cs="Times New Roman"/>
          <w:szCs w:val="24"/>
        </w:rPr>
        <w:t>Redacción – borrador original: Jessica Patricia Chiliquinga Cando, Jessica Verónica Calapucha Vargas, Willian Paul Aviles Quiñonez, Dailit Gonzalez Capote.</w:t>
      </w:r>
    </w:p>
    <w:p w14:paraId="66F11DDB" w14:textId="77777777" w:rsidR="002B428A" w:rsidRPr="002B428A" w:rsidRDefault="002B428A" w:rsidP="002B428A">
      <w:pPr>
        <w:spacing w:line="276" w:lineRule="auto"/>
        <w:jc w:val="both"/>
        <w:rPr>
          <w:rFonts w:eastAsia="Times New Roman" w:cs="Times New Roman"/>
          <w:szCs w:val="24"/>
        </w:rPr>
      </w:pPr>
      <w:r w:rsidRPr="002B428A">
        <w:rPr>
          <w:rFonts w:eastAsia="Times New Roman" w:cs="Times New Roman"/>
          <w:szCs w:val="24"/>
        </w:rPr>
        <w:t>Redacción – revisión y edición: Jessica Patricia Chiliquinga Cando, Jessica Verónica Calapucha Vargas, Willian Paul Aviles Quiñonez, Dailit Gonzalez Capote.</w:t>
      </w:r>
    </w:p>
    <w:p w14:paraId="0019C404" w14:textId="51FD2E1C" w:rsidR="006F2C2C" w:rsidRPr="002B428A" w:rsidRDefault="006F2C2C" w:rsidP="00DF1AF1">
      <w:pPr>
        <w:spacing w:line="276" w:lineRule="auto"/>
        <w:jc w:val="both"/>
        <w:rPr>
          <w:rFonts w:eastAsia="Times New Roman" w:cs="Times New Roman"/>
          <w:szCs w:val="24"/>
        </w:rPr>
      </w:pPr>
    </w:p>
    <w:sectPr w:rsidR="006F2C2C" w:rsidRPr="002B428A" w:rsidSect="00371129">
      <w:headerReference w:type="default" r:id="rId36"/>
      <w:footerReference w:type="default" r:id="rId37"/>
      <w:pgSz w:w="12240" w:h="15840"/>
      <w:pgMar w:top="1560" w:right="1701" w:bottom="1417" w:left="1701" w:header="0" w:footer="680"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2" w:author="WILLIAN PAUL AVILES QUINONEZ" w:date="2026-06-09T14:38:00Z" w:initials="WQ">
    <w:p w14:paraId="2FD7F6C1" w14:textId="7485FDB0" w:rsidR="0068518D" w:rsidRDefault="00867328">
      <w:r>
        <w:annotationRef/>
      </w:r>
      <w:r w:rsidRPr="70224AD7">
        <w:t xml:space="preserve">agregar cita de algún libro de metodología y agregar cita de la pagina de web de contratación publica en cifra como para decir que es un instrumento de validación  </w:t>
      </w:r>
    </w:p>
  </w:comment>
  <w:comment w:id="3" w:author="WILLIAN PAUL AVILES QUINONEZ" w:date="2026-06-09T14:29:00Z" w:initials="WQ">
    <w:p w14:paraId="16C64B90" w14:textId="58F6D4DB" w:rsidR="0068518D" w:rsidRDefault="00867328">
      <w:r>
        <w:annotationRef/>
      </w:r>
      <w:r w:rsidRPr="5BC5382B">
        <w:t xml:space="preserve">aumentar la cantidad de procesos y de periodos y establecer que en un total de: ejemplo 1000 procedimientos se detectaron 800 con los inconvenientes presentados en la tabla </w:t>
      </w:r>
    </w:p>
  </w:comment>
  <w:comment w:id="4" w:author="WILLIAN PAUL AVILES QUINONEZ" w:date="2026-06-09T14:32:00Z" w:initials="WQ">
    <w:p w14:paraId="7B410DEC" w14:textId="4F5BB607" w:rsidR="0068518D" w:rsidRDefault="00867328">
      <w:r>
        <w:annotationRef/>
      </w:r>
      <w:r w:rsidRPr="67D4C6EF">
        <w:t xml:space="preserve">cita muy vieja buscar una mas actualizada o parafrasear sin necesidad de citar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2FD7F6C1" w15:done="1"/>
  <w15:commentEx w15:paraId="16C64B90" w15:done="1"/>
  <w15:commentEx w15:paraId="7B410DE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77E111B2" w16cex:dateUtc="2026-06-09T19:38:00Z"/>
  <w16cex:commentExtensible w16cex:durableId="2A38F68F" w16cex:dateUtc="2026-06-09T19:29:00Z"/>
  <w16cex:commentExtensible w16cex:durableId="4A0CD89A" w16cex:dateUtc="2026-06-09T19: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2FD7F6C1" w16cid:durableId="77E111B2"/>
  <w16cid:commentId w16cid:paraId="16C64B90" w16cid:durableId="2A38F68F"/>
  <w16cid:commentId w16cid:paraId="7B410DEC" w16cid:durableId="4A0CD8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C251CF8" w14:textId="77777777" w:rsidR="009B099C" w:rsidRDefault="009B099C">
      <w:r>
        <w:separator/>
      </w:r>
    </w:p>
  </w:endnote>
  <w:endnote w:type="continuationSeparator" w:id="0">
    <w:p w14:paraId="7A4F447F" w14:textId="77777777" w:rsidR="009B099C" w:rsidRDefault="009B0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Noto Serif">
    <w:panose1 w:val="02020600060500020200"/>
    <w:charset w:val="00"/>
    <w:family w:val="roman"/>
    <w:pitch w:val="variable"/>
    <w:sig w:usb0="E00002FF" w:usb1="500078FF" w:usb2="00000029"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heme="majorHAnsi" w:eastAsiaTheme="majorEastAsia" w:hAnsiTheme="majorHAnsi" w:cstheme="majorBidi"/>
      </w:rPr>
      <w:id w:val="-805085897"/>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14:paraId="472E1F38" w14:textId="6A268599" w:rsidR="00373E80" w:rsidRDefault="00373E80">
            <w:pPr>
              <w:rPr>
                <w:rFonts w:asciiTheme="majorHAnsi" w:eastAsiaTheme="majorEastAsia" w:hAnsiTheme="majorHAnsi" w:cstheme="majorBidi"/>
              </w:rPr>
            </w:pPr>
            <w:r>
              <w:rPr>
                <w:noProof/>
              </w:rPr>
              <mc:AlternateContent>
                <mc:Choice Requires="wps">
                  <w:drawing>
                    <wp:anchor distT="0" distB="0" distL="114300" distR="114300" simplePos="0" relativeHeight="251675651" behindDoc="0" locked="0" layoutInCell="1" hidden="0" allowOverlap="1" wp14:anchorId="3E9EDAC5" wp14:editId="5A4029B2">
                      <wp:simplePos x="0" y="0"/>
                      <wp:positionH relativeFrom="column">
                        <wp:posOffset>-753110</wp:posOffset>
                      </wp:positionH>
                      <wp:positionV relativeFrom="paragraph">
                        <wp:posOffset>172085</wp:posOffset>
                      </wp:positionV>
                      <wp:extent cx="2301240" cy="259080"/>
                      <wp:effectExtent l="0" t="0" r="0" b="7620"/>
                      <wp:wrapSquare wrapText="bothSides"/>
                      <wp:docPr id="150954093" name="Rectángulo 150954093"/>
                      <wp:cNvGraphicFramePr/>
                      <a:graphic xmlns:a="http://schemas.openxmlformats.org/drawingml/2006/main">
                        <a:graphicData uri="http://schemas.microsoft.com/office/word/2010/wordprocessingShape">
                          <wps:wsp>
                            <wps:cNvSpPr/>
                            <wps:spPr>
                              <a:xfrm>
                                <a:off x="0" y="0"/>
                                <a:ext cx="2301240" cy="259080"/>
                              </a:xfrm>
                              <a:prstGeom prst="rect">
                                <a:avLst/>
                              </a:prstGeom>
                              <a:noFill/>
                              <a:ln>
                                <a:noFill/>
                              </a:ln>
                            </wps:spPr>
                            <wps:txbx>
                              <w:txbxContent>
                                <w:p w14:paraId="60D49BFB" w14:textId="6D9C15F5" w:rsidR="00373E80" w:rsidRDefault="00373E80" w:rsidP="00373E80">
                                  <w:pPr>
                                    <w:textDirection w:val="btLr"/>
                                    <w:rPr>
                                      <w:rFonts w:eastAsia="Times New Roman" w:cs="Times New Roman"/>
                                      <w:sz w:val="20"/>
                                      <w:lang w:val="es-MX"/>
                                    </w:rPr>
                                  </w:pPr>
                                  <w:r w:rsidRPr="002D75E9">
                                    <w:rPr>
                                      <w:rFonts w:eastAsia="Times New Roman" w:cs="Times New Roman"/>
                                      <w:sz w:val="20"/>
                                      <w:lang w:val="es-MX"/>
                                    </w:rPr>
                                    <w:t xml:space="preserve">Doi: </w:t>
                                  </w:r>
                                  <w:hyperlink r:id="rId1" w:history="1">
                                    <w:r w:rsidR="004876AA" w:rsidRPr="004876AA">
                                      <w:rPr>
                                        <w:rStyle w:val="Hipervnculo"/>
                                        <w:rFonts w:eastAsia="Times New Roman" w:cs="Times New Roman"/>
                                        <w:color w:val="auto"/>
                                        <w:sz w:val="20"/>
                                        <w:u w:val="none"/>
                                      </w:rPr>
                                      <w:t>https://doi.org/10.63688/afxytw28</w:t>
                                    </w:r>
                                  </w:hyperlink>
                                </w:p>
                                <w:p w14:paraId="00D25E8D" w14:textId="77777777" w:rsidR="004876AA" w:rsidRPr="002D75E9" w:rsidRDefault="004876AA" w:rsidP="00373E80">
                                  <w:pPr>
                                    <w:textDirection w:val="btLr"/>
                                    <w:rPr>
                                      <w:rFonts w:eastAsia="Times New Roman" w:cs="Times New Roman"/>
                                      <w:sz w:val="20"/>
                                      <w:lang w:val="es-MX"/>
                                    </w:rPr>
                                  </w:pPr>
                                </w:p>
                                <w:p w14:paraId="7E6212D0" w14:textId="77777777" w:rsidR="002D75E9" w:rsidRPr="002D75E9" w:rsidRDefault="002D75E9" w:rsidP="00373E80">
                                  <w:pPr>
                                    <w:textDirection w:val="btLr"/>
                                    <w:rPr>
                                      <w:rFonts w:eastAsia="Times New Roman" w:cs="Times New Roman"/>
                                      <w:color w:val="04073A"/>
                                      <w:sz w:val="20"/>
                                      <w:lang w:val="es-MX"/>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3E9EDAC5" id="Rectángulo 150954093" o:spid="_x0000_s1029" style="position:absolute;margin-left:-59.3pt;margin-top:13.55pt;width:181.2pt;height:20.4pt;z-index:2516756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" filled="f" stroked="f">
                      <v:textbox inset="2.53958mm,1.2694mm,2.53958mm,1.2694mm">
                        <w:txbxContent>
                          <w:p w14:paraId="60D49BFB" w14:textId="6D9C15F5" w:rsidR="00373E80" w:rsidRDefault="00373E80" w:rsidP="00373E80">
                            <w:pPr>
                              <w:textDirection w:val="btLr"/>
                              <w:rPr>
                                <w:rFonts w:eastAsia="Times New Roman" w:cs="Times New Roman"/>
                                <w:sz w:val="20"/>
                                <w:lang w:val="es-MX"/>
                              </w:rPr>
                            </w:pPr>
                            <w:proofErr w:type="spellStart"/>
                            <w:r w:rsidRPr="002D75E9">
                              <w:rPr>
                                <w:rFonts w:eastAsia="Times New Roman" w:cs="Times New Roman"/>
                                <w:sz w:val="20"/>
                                <w:lang w:val="es-MX"/>
                              </w:rPr>
                              <w:t>Doi</w:t>
                            </w:r>
                            <w:proofErr w:type="spellEnd"/>
                            <w:r w:rsidRPr="002D75E9">
                              <w:rPr>
                                <w:rFonts w:eastAsia="Times New Roman" w:cs="Times New Roman"/>
                                <w:sz w:val="20"/>
                                <w:lang w:val="es-MX"/>
                              </w:rPr>
                              <w:t xml:space="preserve">: </w:t>
                            </w:r>
                            <w:hyperlink r:id="rId2" w:history="1">
                              <w:r w:rsidR="004876AA" w:rsidRPr="004876AA">
                                <w:rPr>
                                  <w:rStyle w:val="Hipervnculo"/>
                                  <w:rFonts w:eastAsia="Times New Roman" w:cs="Times New Roman"/>
                                  <w:color w:val="auto"/>
                                  <w:sz w:val="20"/>
                                  <w:u w:val="none"/>
                                </w:rPr>
                                <w:t>https://doi.org/10.63688/afxytw28</w:t>
                              </w:r>
                            </w:hyperlink>
                          </w:p>
                          <w:p w14:paraId="00D25E8D" w14:textId="77777777" w:rsidR="004876AA" w:rsidRPr="002D75E9" w:rsidRDefault="004876AA" w:rsidP="00373E80">
                            <w:pPr>
                              <w:textDirection w:val="btLr"/>
                              <w:rPr>
                                <w:rFonts w:eastAsia="Times New Roman" w:cs="Times New Roman"/>
                                <w:sz w:val="20"/>
                                <w:lang w:val="es-MX"/>
                              </w:rPr>
                            </w:pPr>
                          </w:p>
                          <w:p w14:paraId="7E6212D0" w14:textId="77777777" w:rsidR="002D75E9" w:rsidRPr="002D75E9" w:rsidRDefault="002D75E9" w:rsidP="00373E80">
                            <w:pPr>
                              <w:textDirection w:val="btLr"/>
                              <w:rPr>
                                <w:rFonts w:eastAsia="Times New Roman" w:cs="Times New Roman"/>
                                <w:color w:val="04073A"/>
                                <w:sz w:val="20"/>
                                <w:lang w:val="es-MX"/>
                              </w:rPr>
                            </w:pPr>
                          </w:p>
                        </w:txbxContent>
                      </v:textbox>
                      <w10:wrap type="square"/>
                    </v:rect>
                  </w:pict>
                </mc:Fallback>
              </mc:AlternateContent>
            </w:r>
            <w:r>
              <w:rPr>
                <w:rFonts w:eastAsia="Times New Roman" w:cs="Times New Roman"/>
                <w:b/>
                <w:bCs/>
                <w:noProof/>
                <w:szCs w:val="24"/>
              </w:rPr>
              <w:drawing>
                <wp:anchor distT="0" distB="0" distL="114300" distR="114300" simplePos="0" relativeHeight="251674627" behindDoc="0" locked="0" layoutInCell="1" allowOverlap="1" wp14:anchorId="1E3E30C6" wp14:editId="5AB12E0A">
                  <wp:simplePos x="0" y="0"/>
                  <wp:positionH relativeFrom="column">
                    <wp:posOffset>5130165</wp:posOffset>
                  </wp:positionH>
                  <wp:positionV relativeFrom="paragraph">
                    <wp:posOffset>-85023</wp:posOffset>
                  </wp:positionV>
                  <wp:extent cx="753110" cy="731520"/>
                  <wp:effectExtent l="0" t="0" r="8890" b="0"/>
                  <wp:wrapThrough wrapText="bothSides">
                    <wp:wrapPolygon edited="0">
                      <wp:start x="0" y="0"/>
                      <wp:lineTo x="0" y="20813"/>
                      <wp:lineTo x="21309" y="20813"/>
                      <wp:lineTo x="21309" y="0"/>
                      <wp:lineTo x="0" y="0"/>
                    </wp:wrapPolygon>
                  </wp:wrapThrough>
                  <wp:docPr id="1200534713" name="Imagen 6" descr="Gráfico, Gráfico radia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34713" name="Imagen 6" descr="Gráfico, Gráfico radial&#10;&#10;El contenido generado por IA puede ser incorrecto."/>
                          <pic:cNvPicPr>
                            <a:picLocks noChangeAspect="1" noChangeArrowheads="1"/>
                          </pic:cNvPicPr>
                        </pic:nvPicPr>
                        <pic:blipFill rotWithShape="1">
                          <a:blip r:embed="rId3">
                            <a:extLst>
                              <a:ext uri="{28A0092B-C50C-407E-A947-70E740481C1C}">
                                <a14:useLocalDpi xmlns:a14="http://schemas.microsoft.com/office/drawing/2010/main" val="0"/>
                              </a:ext>
                            </a:extLst>
                          </a:blip>
                          <a:srcRect l="24375" t="8907" r="22728" b="14043"/>
                          <a:stretch>
                            <a:fillRect/>
                          </a:stretch>
                        </pic:blipFill>
                        <pic:spPr bwMode="auto">
                          <a:xfrm>
                            <a:off x="0" y="0"/>
                            <a:ext cx="753110" cy="731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ajorHAnsi" w:eastAsiaTheme="majorEastAsia" w:hAnsiTheme="majorHAnsi" w:cstheme="majorBidi"/>
                <w:noProof/>
              </w:rPr>
              <mc:AlternateContent>
                <mc:Choice Requires="wps">
                  <w:drawing>
                    <wp:anchor distT="0" distB="0" distL="114300" distR="114300" simplePos="0" relativeHeight="251672579" behindDoc="0" locked="0" layoutInCell="1" allowOverlap="1" wp14:anchorId="11AE92D4" wp14:editId="6A6E3B46">
                      <wp:simplePos x="0" y="0"/>
                      <wp:positionH relativeFrom="margin">
                        <wp:align>center</wp:align>
                      </wp:positionH>
                      <wp:positionV relativeFrom="bottomMargin">
                        <wp:align>center</wp:align>
                      </wp:positionV>
                      <wp:extent cx="626745" cy="626745"/>
                      <wp:effectExtent l="0" t="0" r="1905" b="1905"/>
                      <wp:wrapNone/>
                      <wp:docPr id="1381357145" name="E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002060"/>
                              </a:solidFill>
                              <a:ln>
                                <a:noFill/>
                              </a:ln>
                            </wps:spPr>
                            <wps:txbx>
                              <w:txbxContent>
                                <w:p w14:paraId="71438ABB" w14:textId="77777777" w:rsidR="00373E80" w:rsidRDefault="00373E80">
                                  <w:pPr>
                                    <w:pStyle w:val="Piedepgina"/>
                                    <w:jc w:val="center"/>
                                    <w:rPr>
                                      <w:b/>
                                      <w:bCs/>
                                      <w:color w:val="FFFFFF" w:themeColor="background1"/>
                                      <w:sz w:val="32"/>
                                      <w:szCs w:val="32"/>
                                    </w:rPr>
                                  </w:pPr>
                                  <w:r>
                                    <w:rPr>
                                      <w:sz w:val="22"/>
                                    </w:rPr>
                                    <w:fldChar w:fldCharType="begin"/>
                                  </w:r>
                                  <w:r>
                                    <w:instrText>PAGE    \* MERGEFORMAT</w:instrText>
                                  </w:r>
                                  <w:r>
                                    <w:rPr>
                                      <w:sz w:val="22"/>
                                    </w:rPr>
                                    <w:fldChar w:fldCharType="separate"/>
                                  </w:r>
                                  <w:r>
                                    <w:rPr>
                                      <w:b/>
                                      <w:bCs/>
                                      <w:color w:val="FFFFFF" w:themeColor="background1"/>
                                      <w:sz w:val="32"/>
                                      <w:szCs w:val="32"/>
                                      <w:lang w:val="es-ES"/>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1AE92D4" id="Elipse 7" o:spid="_x0000_s1030" style="position:absolute;margin-left:0;margin-top:0;width:49.35pt;height:49.35pt;z-index:251672579;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" fillcolor="#002060" stroked="f">
                      <v:textbox>
                        <w:txbxContent>
                          <w:p w14:paraId="71438ABB" w14:textId="77777777" w:rsidR="00373E80" w:rsidRDefault="00373E80">
                            <w:pPr>
                              <w:pStyle w:val="Piedepgina"/>
                              <w:jc w:val="center"/>
                              <w:rPr>
                                <w:b/>
                                <w:bCs/>
                                <w:color w:val="FFFFFF" w:themeColor="background1"/>
                                <w:sz w:val="32"/>
                                <w:szCs w:val="32"/>
                              </w:rPr>
                            </w:pPr>
                            <w:r>
                              <w:rPr>
                                <w:sz w:val="22"/>
                              </w:rPr>
                              <w:fldChar w:fldCharType="begin"/>
                            </w:r>
                            <w:r>
                              <w:instrText>PAGE    \* MERGEFORMAT</w:instrText>
                            </w:r>
                            <w:r>
                              <w:rPr>
                                <w:sz w:val="22"/>
                              </w:rPr>
                              <w:fldChar w:fldCharType="separate"/>
                            </w:r>
                            <w:r>
                              <w:rPr>
                                <w:b/>
                                <w:bCs/>
                                <w:color w:val="FFFFFF" w:themeColor="background1"/>
                                <w:sz w:val="32"/>
                                <w:szCs w:val="32"/>
                                <w:lang w:val="es-ES"/>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0019C409" w14:textId="00D2D59C" w:rsidR="006F2C2C" w:rsidRDefault="006F2C2C">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AD42A5" w14:textId="77777777" w:rsidR="009B099C" w:rsidRDefault="009B099C">
      <w:r>
        <w:separator/>
      </w:r>
    </w:p>
  </w:footnote>
  <w:footnote w:type="continuationSeparator" w:id="0">
    <w:p w14:paraId="3284C85B" w14:textId="77777777" w:rsidR="009B099C" w:rsidRDefault="009B09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19C407" w14:textId="68B78670" w:rsidR="006F2C2C" w:rsidRDefault="002D75E9">
    <w:pPr>
      <w:pBdr>
        <w:top w:val="nil"/>
        <w:left w:val="nil"/>
        <w:bottom w:val="nil"/>
        <w:right w:val="nil"/>
        <w:between w:val="nil"/>
      </w:pBdr>
      <w:tabs>
        <w:tab w:val="center" w:pos="4252"/>
        <w:tab w:val="right" w:pos="8504"/>
      </w:tabs>
      <w:ind w:left="-1701"/>
      <w:rPr>
        <w:color w:val="000000"/>
        <w:sz w:val="8"/>
        <w:szCs w:val="8"/>
      </w:rPr>
    </w:pPr>
    <w:r>
      <w:rPr>
        <w:noProof/>
      </w:rPr>
      <mc:AlternateContent>
        <mc:Choice Requires="wps">
          <w:drawing>
            <wp:anchor distT="0" distB="0" distL="0" distR="0" simplePos="0" relativeHeight="251668483" behindDoc="1" locked="0" layoutInCell="1" hidden="0" allowOverlap="1" wp14:anchorId="4BD3495E" wp14:editId="0F385DAF">
              <wp:simplePos x="0" y="0"/>
              <wp:positionH relativeFrom="column">
                <wp:posOffset>-827217</wp:posOffset>
              </wp:positionH>
              <wp:positionV relativeFrom="paragraph">
                <wp:posOffset>116732</wp:posOffset>
              </wp:positionV>
              <wp:extent cx="4377447" cy="272374"/>
              <wp:effectExtent l="0" t="0" r="4445" b="13970"/>
              <wp:wrapNone/>
              <wp:docPr id="3" name="Rectángulo 3"/>
              <wp:cNvGraphicFramePr/>
              <a:graphic xmlns:a="http://schemas.openxmlformats.org/drawingml/2006/main">
                <a:graphicData uri="http://schemas.microsoft.com/office/word/2010/wordprocessingShape">
                  <wps:wsp>
                    <wps:cNvSpPr/>
                    <wps:spPr>
                      <a:xfrm>
                        <a:off x="0" y="0"/>
                        <a:ext cx="4377447" cy="272374"/>
                      </a:xfrm>
                      <a:prstGeom prst="rect">
                        <a:avLst/>
                      </a:prstGeom>
                      <a:noFill/>
                      <a:ln>
                        <a:noFill/>
                      </a:ln>
                    </wps:spPr>
                    <wps:txbx>
                      <w:txbxContent>
                        <w:p w14:paraId="5CC3FAEA" w14:textId="77777777" w:rsidR="004876AA" w:rsidRPr="004876AA" w:rsidRDefault="004876AA" w:rsidP="004876AA">
                          <w:pPr>
                            <w:spacing w:before="10"/>
                            <w:ind w:left="20" w:firstLine="20"/>
                            <w:textDirection w:val="btLr"/>
                            <w:rPr>
                              <w:rFonts w:eastAsia="Noto Serif" w:cs="Times New Roman"/>
                              <w:b/>
                              <w:iCs/>
                              <w:color w:val="04073A"/>
                              <w:szCs w:val="24"/>
                              <w:highlight w:val="white"/>
                            </w:rPr>
                          </w:pPr>
                          <w:r w:rsidRPr="004876AA">
                            <w:rPr>
                              <w:rFonts w:eastAsia="Noto Serif" w:cs="Times New Roman"/>
                              <w:b/>
                              <w:iCs/>
                              <w:color w:val="04073A"/>
                              <w:szCs w:val="24"/>
                              <w:highlight w:val="white"/>
                            </w:rPr>
                            <w:t>Sage Sphere Multidisciplinary Studies</w:t>
                          </w:r>
                        </w:p>
                        <w:p w14:paraId="793E070A" w14:textId="74317337" w:rsidR="005C35B9" w:rsidRPr="002D75E9" w:rsidRDefault="005C35B9" w:rsidP="005C35B9">
                          <w:pPr>
                            <w:spacing w:before="10"/>
                            <w:ind w:left="20" w:firstLine="20"/>
                            <w:textDirection w:val="btLr"/>
                            <w:rPr>
                              <w:rFonts w:cs="Times New Roman"/>
                              <w:iCs/>
                              <w:color w:val="04073A"/>
                              <w:szCs w:val="24"/>
                              <w:lang w:val="en-GB"/>
                            </w:rPr>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4BD3495E" id="Rectángulo 3" o:spid="_x0000_s1026" style="position:absolute;left:0;text-align:left;margin-left:-65.15pt;margin-top:9.2pt;width:344.7pt;height:21.45pt;z-index:-25164799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" filled="f" stroked="f">
              <v:textbox inset="0,0,0,0">
                <w:txbxContent>
                  <w:p w14:paraId="5CC3FAEA" w14:textId="77777777" w:rsidR="004876AA" w:rsidRPr="004876AA" w:rsidRDefault="004876AA" w:rsidP="004876AA">
                    <w:pPr>
                      <w:spacing w:before="10"/>
                      <w:ind w:left="20" w:firstLine="20"/>
                      <w:textDirection w:val="btLr"/>
                      <w:rPr>
                        <w:rFonts w:eastAsia="Noto Serif" w:cs="Times New Roman"/>
                        <w:b/>
                        <w:iCs/>
                        <w:color w:val="04073A"/>
                        <w:szCs w:val="24"/>
                        <w:highlight w:val="white"/>
                      </w:rPr>
                    </w:pPr>
                    <w:r w:rsidRPr="004876AA">
                      <w:rPr>
                        <w:rFonts w:eastAsia="Noto Serif" w:cs="Times New Roman"/>
                        <w:b/>
                        <w:iCs/>
                        <w:color w:val="04073A"/>
                        <w:szCs w:val="24"/>
                        <w:highlight w:val="white"/>
                      </w:rPr>
                      <w:t>Sage Sphere Multidisciplinary Studies</w:t>
                    </w:r>
                  </w:p>
                  <w:p w14:paraId="793E070A" w14:textId="74317337" w:rsidR="005C35B9" w:rsidRPr="002D75E9" w:rsidRDefault="005C35B9" w:rsidP="005C35B9">
                    <w:pPr>
                      <w:spacing w:before="10"/>
                      <w:ind w:left="20" w:firstLine="20"/>
                      <w:textDirection w:val="btLr"/>
                      <w:rPr>
                        <w:rFonts w:cs="Times New Roman"/>
                        <w:iCs/>
                        <w:color w:val="04073A"/>
                        <w:szCs w:val="24"/>
                        <w:lang w:val="en-GB"/>
                      </w:rPr>
                    </w:pPr>
                  </w:p>
                </w:txbxContent>
              </v:textbox>
            </v:rect>
          </w:pict>
        </mc:Fallback>
      </mc:AlternateContent>
    </w:r>
    <w:r w:rsidR="00E57710">
      <w:rPr>
        <w:noProof/>
      </w:rPr>
      <mc:AlternateContent>
        <mc:Choice Requires="wps">
          <w:drawing>
            <wp:anchor distT="0" distB="0" distL="114300" distR="114300" simplePos="0" relativeHeight="251666435" behindDoc="0" locked="0" layoutInCell="1" hidden="0" allowOverlap="1" wp14:anchorId="41EBDD5E" wp14:editId="560598E2">
              <wp:simplePos x="0" y="0"/>
              <wp:positionH relativeFrom="column">
                <wp:posOffset>-821055</wp:posOffset>
              </wp:positionH>
              <wp:positionV relativeFrom="paragraph">
                <wp:posOffset>641350</wp:posOffset>
              </wp:positionV>
              <wp:extent cx="2301240" cy="259080"/>
              <wp:effectExtent l="0" t="0" r="0" b="7620"/>
              <wp:wrapSquare wrapText="bothSides"/>
              <wp:docPr id="1" name="Rectángulo 1"/>
              <wp:cNvGraphicFramePr/>
              <a:graphic xmlns:a="http://schemas.openxmlformats.org/drawingml/2006/main">
                <a:graphicData uri="http://schemas.microsoft.com/office/word/2010/wordprocessingShape">
                  <wps:wsp>
                    <wps:cNvSpPr/>
                    <wps:spPr>
                      <a:xfrm>
                        <a:off x="0" y="0"/>
                        <a:ext cx="2301240" cy="259080"/>
                      </a:xfrm>
                      <a:prstGeom prst="rect">
                        <a:avLst/>
                      </a:prstGeom>
                      <a:noFill/>
                      <a:ln>
                        <a:noFill/>
                      </a:ln>
                    </wps:spPr>
                    <wps:txbx>
                      <w:txbxContent>
                        <w:p w14:paraId="4C50F541" w14:textId="77777777" w:rsidR="004876AA" w:rsidRPr="004876AA" w:rsidRDefault="004876AA" w:rsidP="004876AA">
                          <w:pPr>
                            <w:textDirection w:val="btLr"/>
                            <w:rPr>
                              <w:rFonts w:eastAsia="Times New Roman" w:cs="Times New Roman"/>
                              <w:b/>
                              <w:bCs/>
                              <w:color w:val="04073A"/>
                              <w:sz w:val="20"/>
                              <w:lang w:val="es-ES"/>
                            </w:rPr>
                          </w:pPr>
                          <w:r w:rsidRPr="004876AA">
                            <w:rPr>
                              <w:rFonts w:eastAsia="Times New Roman" w:cs="Times New Roman"/>
                              <w:b/>
                              <w:bCs/>
                              <w:color w:val="04073A"/>
                              <w:sz w:val="20"/>
                              <w:lang w:val="es-ES"/>
                            </w:rPr>
                            <w:t>Vol. 3 Núm. 1 (2026)</w:t>
                          </w:r>
                        </w:p>
                        <w:p w14:paraId="4F126C33" w14:textId="77777777" w:rsidR="005C35B9" w:rsidRPr="005C35B9" w:rsidRDefault="005C35B9" w:rsidP="005C35B9">
                          <w:pPr>
                            <w:textDirection w:val="btLr"/>
                            <w:rPr>
                              <w:color w:val="000000" w:themeColor="text1"/>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41EBDD5E" id="Rectángulo 1" o:spid="_x0000_s1027" style="position:absolute;left:0;text-align:left;margin-left:-64.65pt;margin-top:50.5pt;width:181.2pt;height:20.4pt;z-index:2516664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" filled="f" stroked="f">
              <v:textbox inset="2.53958mm,1.2694mm,2.53958mm,1.2694mm">
                <w:txbxContent>
                  <w:p w14:paraId="4C50F541" w14:textId="77777777" w:rsidR="004876AA" w:rsidRPr="004876AA" w:rsidRDefault="004876AA" w:rsidP="004876AA">
                    <w:pPr>
                      <w:textDirection w:val="btLr"/>
                      <w:rPr>
                        <w:rFonts w:eastAsia="Times New Roman" w:cs="Times New Roman"/>
                        <w:b/>
                        <w:bCs/>
                        <w:color w:val="04073A"/>
                        <w:sz w:val="20"/>
                        <w:lang w:val="es-ES"/>
                      </w:rPr>
                    </w:pPr>
                    <w:r w:rsidRPr="004876AA">
                      <w:rPr>
                        <w:rFonts w:eastAsia="Times New Roman" w:cs="Times New Roman"/>
                        <w:b/>
                        <w:bCs/>
                        <w:color w:val="04073A"/>
                        <w:sz w:val="20"/>
                        <w:lang w:val="es-ES"/>
                      </w:rPr>
                      <w:t>Vol. 3 Núm. 1 (2026)</w:t>
                    </w:r>
                  </w:p>
                  <w:p w14:paraId="4F126C33" w14:textId="77777777" w:rsidR="005C35B9" w:rsidRPr="005C35B9" w:rsidRDefault="005C35B9" w:rsidP="005C35B9">
                    <w:pPr>
                      <w:textDirection w:val="btLr"/>
                      <w:rPr>
                        <w:color w:val="000000" w:themeColor="text1"/>
                      </w:rPr>
                    </w:pPr>
                  </w:p>
                </w:txbxContent>
              </v:textbox>
              <w10:wrap type="square"/>
            </v:rect>
          </w:pict>
        </mc:Fallback>
      </mc:AlternateContent>
    </w:r>
    <w:r w:rsidR="005C35B9">
      <w:rPr>
        <w:noProof/>
      </w:rPr>
      <mc:AlternateContent>
        <mc:Choice Requires="wps">
          <w:drawing>
            <wp:anchor distT="0" distB="0" distL="114300" distR="114300" simplePos="0" relativeHeight="251670531" behindDoc="0" locked="0" layoutInCell="1" hidden="0" allowOverlap="1" wp14:anchorId="3AEB19C1" wp14:editId="471B586D">
              <wp:simplePos x="0" y="0"/>
              <wp:positionH relativeFrom="column">
                <wp:posOffset>-821055</wp:posOffset>
              </wp:positionH>
              <wp:positionV relativeFrom="paragraph">
                <wp:posOffset>396240</wp:posOffset>
              </wp:positionV>
              <wp:extent cx="2301240" cy="259080"/>
              <wp:effectExtent l="0" t="0" r="0" b="7620"/>
              <wp:wrapSquare wrapText="bothSides"/>
              <wp:docPr id="1055654850" name="Rectángulo 1055654850"/>
              <wp:cNvGraphicFramePr/>
              <a:graphic xmlns:a="http://schemas.openxmlformats.org/drawingml/2006/main">
                <a:graphicData uri="http://schemas.microsoft.com/office/word/2010/wordprocessingShape">
                  <wps:wsp>
                    <wps:cNvSpPr/>
                    <wps:spPr>
                      <a:xfrm>
                        <a:off x="0" y="0"/>
                        <a:ext cx="2301240" cy="259080"/>
                      </a:xfrm>
                      <a:prstGeom prst="rect">
                        <a:avLst/>
                      </a:prstGeom>
                      <a:noFill/>
                      <a:ln>
                        <a:noFill/>
                      </a:ln>
                    </wps:spPr>
                    <wps:txbx>
                      <w:txbxContent>
                        <w:p w14:paraId="2E48F4DF" w14:textId="77777777" w:rsidR="004876AA" w:rsidRPr="004876AA" w:rsidRDefault="004876AA" w:rsidP="004876AA">
                          <w:pPr>
                            <w:textDirection w:val="btLr"/>
                            <w:rPr>
                              <w:rFonts w:eastAsia="Times New Roman" w:cs="Times New Roman"/>
                              <w:b/>
                              <w:bCs/>
                              <w:color w:val="04073A"/>
                              <w:sz w:val="20"/>
                              <w:lang w:val="es-MX"/>
                            </w:rPr>
                          </w:pPr>
                          <w:r w:rsidRPr="004876AA">
                            <w:rPr>
                              <w:rFonts w:eastAsia="Times New Roman" w:cs="Times New Roman"/>
                              <w:b/>
                              <w:bCs/>
                              <w:color w:val="04073A"/>
                              <w:sz w:val="20"/>
                              <w:lang w:val="es-MX"/>
                            </w:rPr>
                            <w:t>ISSN: 3091-1672</w:t>
                          </w:r>
                        </w:p>
                        <w:p w14:paraId="1BB72296" w14:textId="5A0F5D55" w:rsidR="005C35B9" w:rsidRPr="005C35B9" w:rsidRDefault="005C35B9" w:rsidP="005C35B9">
                          <w:pPr>
                            <w:textDirection w:val="btLr"/>
                            <w:rPr>
                              <w:color w:val="000000" w:themeColor="text1"/>
                              <w:lang w:val="es-MX"/>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3AEB19C1" id="Rectángulo 1055654850" o:spid="_x0000_s1028" style="position:absolute;left:0;text-align:left;margin-left:-64.65pt;margin-top:31.2pt;width:181.2pt;height:20.4pt;z-index:251670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" filled="f" stroked="f">
              <v:textbox inset="2.53958mm,1.2694mm,2.53958mm,1.2694mm">
                <w:txbxContent>
                  <w:p w14:paraId="2E48F4DF" w14:textId="77777777" w:rsidR="004876AA" w:rsidRPr="004876AA" w:rsidRDefault="004876AA" w:rsidP="004876AA">
                    <w:pPr>
                      <w:textDirection w:val="btLr"/>
                      <w:rPr>
                        <w:rFonts w:eastAsia="Times New Roman" w:cs="Times New Roman"/>
                        <w:b/>
                        <w:bCs/>
                        <w:color w:val="04073A"/>
                        <w:sz w:val="20"/>
                        <w:lang w:val="es-MX"/>
                      </w:rPr>
                    </w:pPr>
                    <w:r w:rsidRPr="004876AA">
                      <w:rPr>
                        <w:rFonts w:eastAsia="Times New Roman" w:cs="Times New Roman"/>
                        <w:b/>
                        <w:bCs/>
                        <w:color w:val="04073A"/>
                        <w:sz w:val="20"/>
                        <w:lang w:val="es-MX"/>
                      </w:rPr>
                      <w:t>ISSN: 3091-1672</w:t>
                    </w:r>
                  </w:p>
                  <w:p w14:paraId="1BB72296" w14:textId="5A0F5D55" w:rsidR="005C35B9" w:rsidRPr="005C35B9" w:rsidRDefault="005C35B9" w:rsidP="005C35B9">
                    <w:pPr>
                      <w:textDirection w:val="btLr"/>
                      <w:rPr>
                        <w:color w:val="000000" w:themeColor="text1"/>
                        <w:lang w:val="es-MX"/>
                      </w:rPr>
                    </w:pPr>
                  </w:p>
                </w:txbxContent>
              </v:textbox>
              <w10:wrap type="square"/>
            </v:rect>
          </w:pict>
        </mc:Fallback>
      </mc:AlternateContent>
    </w:r>
    <w:r w:rsidR="005C35B9">
      <w:rPr>
        <w:rFonts w:cs="Times New Roman"/>
        <w:b/>
        <w:bCs/>
        <w:noProof/>
        <w:sz w:val="28"/>
        <w:szCs w:val="28"/>
      </w:rPr>
      <w:drawing>
        <wp:anchor distT="0" distB="0" distL="114300" distR="114300" simplePos="0" relativeHeight="251664387" behindDoc="1" locked="0" layoutInCell="1" allowOverlap="1" wp14:anchorId="05E3CDD0" wp14:editId="4A3A5528">
          <wp:simplePos x="0" y="0"/>
          <wp:positionH relativeFrom="column">
            <wp:posOffset>4573905</wp:posOffset>
          </wp:positionH>
          <wp:positionV relativeFrom="paragraph">
            <wp:posOffset>129603</wp:posOffset>
          </wp:positionV>
          <wp:extent cx="1879772" cy="685800"/>
          <wp:effectExtent l="0" t="0" r="6350" b="0"/>
          <wp:wrapNone/>
          <wp:docPr id="1234805497"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79679" name="Imagen 4" descr="Logotipo, nombre de la empresa&#10;&#10;El contenido generado por IA puede ser incorrecto."/>
                  <pic:cNvPicPr/>
                </pic:nvPicPr>
                <pic:blipFill rotWithShape="1">
                  <a:blip r:embed="rId1">
                    <a:extLst>
                      <a:ext uri="{28A0092B-C50C-407E-A947-70E740481C1C}">
                        <a14:useLocalDpi xmlns:a14="http://schemas.microsoft.com/office/drawing/2010/main" val="0"/>
                      </a:ext>
                    </a:extLst>
                  </a:blip>
                  <a:srcRect l="7603" t="33944" r="9776" b="35913"/>
                  <a:stretch>
                    <a:fillRect/>
                  </a:stretch>
                </pic:blipFill>
                <pic:spPr bwMode="auto">
                  <a:xfrm>
                    <a:off x="0" y="0"/>
                    <a:ext cx="1879772" cy="685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276E2E"/>
    <w:multiLevelType w:val="hybridMultilevel"/>
    <w:tmpl w:val="74F42ECE"/>
    <w:lvl w:ilvl="0" w:tplc="CA30388A">
      <w:numFmt w:val="bullet"/>
      <w:lvlText w:val=""/>
      <w:lvlJc w:val="left"/>
      <w:pPr>
        <w:ind w:left="1189" w:hanging="360"/>
      </w:pPr>
      <w:rPr>
        <w:rFonts w:ascii="Symbol" w:eastAsia="Symbol" w:hAnsi="Symbol" w:cs="Symbol" w:hint="default"/>
        <w:b w:val="0"/>
        <w:bCs w:val="0"/>
        <w:i w:val="0"/>
        <w:iCs w:val="0"/>
        <w:spacing w:val="0"/>
        <w:w w:val="99"/>
        <w:sz w:val="20"/>
        <w:szCs w:val="20"/>
        <w:lang w:val="es-ES" w:eastAsia="en-US" w:bidi="ar-SA"/>
      </w:rPr>
    </w:lvl>
    <w:lvl w:ilvl="1" w:tplc="300A0003" w:tentative="1">
      <w:start w:val="1"/>
      <w:numFmt w:val="bullet"/>
      <w:lvlText w:val="o"/>
      <w:lvlJc w:val="left"/>
      <w:pPr>
        <w:ind w:left="1647" w:hanging="360"/>
      </w:pPr>
      <w:rPr>
        <w:rFonts w:ascii="Courier New" w:hAnsi="Courier New" w:cs="Courier New" w:hint="default"/>
      </w:rPr>
    </w:lvl>
    <w:lvl w:ilvl="2" w:tplc="300A0005" w:tentative="1">
      <w:start w:val="1"/>
      <w:numFmt w:val="bullet"/>
      <w:lvlText w:val=""/>
      <w:lvlJc w:val="left"/>
      <w:pPr>
        <w:ind w:left="2367" w:hanging="360"/>
      </w:pPr>
      <w:rPr>
        <w:rFonts w:ascii="Wingdings" w:hAnsi="Wingdings" w:hint="default"/>
      </w:rPr>
    </w:lvl>
    <w:lvl w:ilvl="3" w:tplc="300A0001" w:tentative="1">
      <w:start w:val="1"/>
      <w:numFmt w:val="bullet"/>
      <w:lvlText w:val=""/>
      <w:lvlJc w:val="left"/>
      <w:pPr>
        <w:ind w:left="3087" w:hanging="360"/>
      </w:pPr>
      <w:rPr>
        <w:rFonts w:ascii="Symbol" w:hAnsi="Symbol" w:hint="default"/>
      </w:rPr>
    </w:lvl>
    <w:lvl w:ilvl="4" w:tplc="300A0003" w:tentative="1">
      <w:start w:val="1"/>
      <w:numFmt w:val="bullet"/>
      <w:lvlText w:val="o"/>
      <w:lvlJc w:val="left"/>
      <w:pPr>
        <w:ind w:left="3807" w:hanging="360"/>
      </w:pPr>
      <w:rPr>
        <w:rFonts w:ascii="Courier New" w:hAnsi="Courier New" w:cs="Courier New" w:hint="default"/>
      </w:rPr>
    </w:lvl>
    <w:lvl w:ilvl="5" w:tplc="300A0005" w:tentative="1">
      <w:start w:val="1"/>
      <w:numFmt w:val="bullet"/>
      <w:lvlText w:val=""/>
      <w:lvlJc w:val="left"/>
      <w:pPr>
        <w:ind w:left="4527" w:hanging="360"/>
      </w:pPr>
      <w:rPr>
        <w:rFonts w:ascii="Wingdings" w:hAnsi="Wingdings" w:hint="default"/>
      </w:rPr>
    </w:lvl>
    <w:lvl w:ilvl="6" w:tplc="300A0001" w:tentative="1">
      <w:start w:val="1"/>
      <w:numFmt w:val="bullet"/>
      <w:lvlText w:val=""/>
      <w:lvlJc w:val="left"/>
      <w:pPr>
        <w:ind w:left="5247" w:hanging="360"/>
      </w:pPr>
      <w:rPr>
        <w:rFonts w:ascii="Symbol" w:hAnsi="Symbol" w:hint="default"/>
      </w:rPr>
    </w:lvl>
    <w:lvl w:ilvl="7" w:tplc="300A0003" w:tentative="1">
      <w:start w:val="1"/>
      <w:numFmt w:val="bullet"/>
      <w:lvlText w:val="o"/>
      <w:lvlJc w:val="left"/>
      <w:pPr>
        <w:ind w:left="5967" w:hanging="360"/>
      </w:pPr>
      <w:rPr>
        <w:rFonts w:ascii="Courier New" w:hAnsi="Courier New" w:cs="Courier New" w:hint="default"/>
      </w:rPr>
    </w:lvl>
    <w:lvl w:ilvl="8" w:tplc="300A0005" w:tentative="1">
      <w:start w:val="1"/>
      <w:numFmt w:val="bullet"/>
      <w:lvlText w:val=""/>
      <w:lvlJc w:val="left"/>
      <w:pPr>
        <w:ind w:left="6687" w:hanging="360"/>
      </w:pPr>
      <w:rPr>
        <w:rFonts w:ascii="Wingdings" w:hAnsi="Wingdings" w:hint="default"/>
      </w:rPr>
    </w:lvl>
  </w:abstractNum>
  <w:abstractNum w:abstractNumId="1" w15:restartNumberingAfterBreak="0">
    <w:nsid w:val="02F1066E"/>
    <w:multiLevelType w:val="multilevel"/>
    <w:tmpl w:val="3FF06248"/>
    <w:lvl w:ilvl="0">
      <w:start w:val="1"/>
      <w:numFmt w:val="decimal"/>
      <w:lvlText w:val="%1."/>
      <w:lvlJc w:val="left"/>
      <w:pPr>
        <w:ind w:left="509" w:hanging="248"/>
      </w:pPr>
      <w:rPr>
        <w:rFonts w:hint="default"/>
        <w:spacing w:val="-1"/>
        <w:w w:val="81"/>
        <w:sz w:val="26"/>
        <w:szCs w:val="26"/>
        <w:lang w:val="es-ES" w:eastAsia="en-US" w:bidi="ar-SA"/>
      </w:rPr>
    </w:lvl>
    <w:lvl w:ilvl="1">
      <w:start w:val="1"/>
      <w:numFmt w:val="decimal"/>
      <w:lvlText w:val="%1.%2."/>
      <w:lvlJc w:val="left"/>
      <w:pPr>
        <w:ind w:left="262" w:hanging="447"/>
      </w:pPr>
      <w:rPr>
        <w:rFonts w:ascii="Arial" w:eastAsia="Trebuchet MS" w:hAnsi="Arial" w:cs="Arial" w:hint="default"/>
        <w:b/>
        <w:bCs/>
        <w:i w:val="0"/>
        <w:iCs w:val="0"/>
        <w:spacing w:val="0"/>
        <w:w w:val="87"/>
        <w:sz w:val="20"/>
        <w:szCs w:val="20"/>
        <w:lang w:val="es-ES" w:eastAsia="en-US" w:bidi="ar-SA"/>
      </w:rPr>
    </w:lvl>
    <w:lvl w:ilvl="2">
      <w:start w:val="1"/>
      <w:numFmt w:val="upperRoman"/>
      <w:lvlText w:val="%3."/>
      <w:lvlJc w:val="right"/>
      <w:pPr>
        <w:ind w:left="982" w:hanging="360"/>
      </w:pPr>
    </w:lvl>
    <w:lvl w:ilvl="3">
      <w:numFmt w:val="bullet"/>
      <w:lvlText w:val="o"/>
      <w:lvlJc w:val="left"/>
      <w:pPr>
        <w:ind w:left="1702" w:hanging="360"/>
      </w:pPr>
      <w:rPr>
        <w:rFonts w:ascii="Courier New" w:eastAsia="Courier New" w:hAnsi="Courier New" w:cs="Courier New" w:hint="default"/>
        <w:b w:val="0"/>
        <w:bCs w:val="0"/>
        <w:i w:val="0"/>
        <w:iCs w:val="0"/>
        <w:spacing w:val="0"/>
        <w:w w:val="99"/>
        <w:sz w:val="20"/>
        <w:szCs w:val="20"/>
        <w:lang w:val="es-ES" w:eastAsia="en-US" w:bidi="ar-SA"/>
      </w:rPr>
    </w:lvl>
    <w:lvl w:ilvl="4">
      <w:numFmt w:val="bullet"/>
      <w:lvlText w:val="•"/>
      <w:lvlJc w:val="left"/>
      <w:pPr>
        <w:ind w:left="1700" w:hanging="360"/>
      </w:pPr>
      <w:rPr>
        <w:rFonts w:hint="default"/>
        <w:lang w:val="es-ES" w:eastAsia="en-US" w:bidi="ar-SA"/>
      </w:rPr>
    </w:lvl>
    <w:lvl w:ilvl="5">
      <w:numFmt w:val="bullet"/>
      <w:lvlText w:val="•"/>
      <w:lvlJc w:val="left"/>
      <w:pPr>
        <w:ind w:left="2976" w:hanging="360"/>
      </w:pPr>
      <w:rPr>
        <w:rFonts w:hint="default"/>
        <w:lang w:val="es-ES" w:eastAsia="en-US" w:bidi="ar-SA"/>
      </w:rPr>
    </w:lvl>
    <w:lvl w:ilvl="6">
      <w:numFmt w:val="bullet"/>
      <w:lvlText w:val="•"/>
      <w:lvlJc w:val="left"/>
      <w:pPr>
        <w:ind w:left="4253" w:hanging="360"/>
      </w:pPr>
      <w:rPr>
        <w:rFonts w:hint="default"/>
        <w:lang w:val="es-ES" w:eastAsia="en-US" w:bidi="ar-SA"/>
      </w:rPr>
    </w:lvl>
    <w:lvl w:ilvl="7">
      <w:numFmt w:val="bullet"/>
      <w:lvlText w:val="•"/>
      <w:lvlJc w:val="left"/>
      <w:pPr>
        <w:ind w:left="5530" w:hanging="360"/>
      </w:pPr>
      <w:rPr>
        <w:rFonts w:hint="default"/>
        <w:lang w:val="es-ES" w:eastAsia="en-US" w:bidi="ar-SA"/>
      </w:rPr>
    </w:lvl>
    <w:lvl w:ilvl="8">
      <w:numFmt w:val="bullet"/>
      <w:lvlText w:val="•"/>
      <w:lvlJc w:val="left"/>
      <w:pPr>
        <w:ind w:left="6806" w:hanging="360"/>
      </w:pPr>
      <w:rPr>
        <w:rFonts w:hint="default"/>
        <w:lang w:val="es-ES" w:eastAsia="en-US" w:bidi="ar-SA"/>
      </w:rPr>
    </w:lvl>
  </w:abstractNum>
  <w:abstractNum w:abstractNumId="2" w15:restartNumberingAfterBreak="0">
    <w:nsid w:val="05082911"/>
    <w:multiLevelType w:val="multilevel"/>
    <w:tmpl w:val="7120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0329A"/>
    <w:multiLevelType w:val="hybridMultilevel"/>
    <w:tmpl w:val="DA5A5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1C290E"/>
    <w:multiLevelType w:val="multilevel"/>
    <w:tmpl w:val="65689E82"/>
    <w:lvl w:ilvl="0">
      <w:start w:val="1"/>
      <w:numFmt w:val="decimal"/>
      <w:lvlText w:val="%1."/>
      <w:lvlJc w:val="left"/>
      <w:pPr>
        <w:ind w:left="509" w:hanging="248"/>
      </w:pPr>
      <w:rPr>
        <w:rFonts w:hint="default"/>
        <w:spacing w:val="-1"/>
        <w:w w:val="81"/>
        <w:sz w:val="26"/>
        <w:szCs w:val="26"/>
        <w:lang w:val="es-ES" w:eastAsia="en-US" w:bidi="ar-SA"/>
      </w:rPr>
    </w:lvl>
    <w:lvl w:ilvl="1">
      <w:start w:val="1"/>
      <w:numFmt w:val="decimal"/>
      <w:lvlText w:val="%1.%2."/>
      <w:lvlJc w:val="left"/>
      <w:pPr>
        <w:ind w:left="262" w:hanging="447"/>
      </w:pPr>
      <w:rPr>
        <w:rFonts w:ascii="Arial" w:eastAsia="Trebuchet MS" w:hAnsi="Arial" w:cs="Arial" w:hint="default"/>
        <w:b/>
        <w:bCs/>
        <w:i w:val="0"/>
        <w:iCs w:val="0"/>
        <w:spacing w:val="0"/>
        <w:w w:val="87"/>
        <w:sz w:val="20"/>
        <w:szCs w:val="20"/>
        <w:lang w:val="es-ES" w:eastAsia="en-US" w:bidi="ar-SA"/>
      </w:rPr>
    </w:lvl>
    <w:lvl w:ilvl="2">
      <w:start w:val="1"/>
      <w:numFmt w:val="decimal"/>
      <w:lvlText w:val="%3."/>
      <w:lvlJc w:val="left"/>
      <w:pPr>
        <w:ind w:left="982" w:hanging="360"/>
      </w:pPr>
      <w:rPr>
        <w:rFonts w:ascii="Trebuchet MS" w:eastAsia="Trebuchet MS" w:hAnsi="Trebuchet MS" w:cs="Trebuchet MS" w:hint="default"/>
        <w:b w:val="0"/>
        <w:bCs w:val="0"/>
        <w:i w:val="0"/>
        <w:iCs w:val="0"/>
        <w:spacing w:val="-1"/>
        <w:w w:val="92"/>
        <w:sz w:val="22"/>
        <w:szCs w:val="22"/>
        <w:lang w:val="es-ES" w:eastAsia="en-US" w:bidi="ar-SA"/>
      </w:rPr>
    </w:lvl>
    <w:lvl w:ilvl="3">
      <w:numFmt w:val="bullet"/>
      <w:lvlText w:val="o"/>
      <w:lvlJc w:val="left"/>
      <w:pPr>
        <w:ind w:left="1702" w:hanging="360"/>
      </w:pPr>
      <w:rPr>
        <w:rFonts w:ascii="Courier New" w:eastAsia="Courier New" w:hAnsi="Courier New" w:cs="Courier New" w:hint="default"/>
        <w:b w:val="0"/>
        <w:bCs w:val="0"/>
        <w:i w:val="0"/>
        <w:iCs w:val="0"/>
        <w:spacing w:val="0"/>
        <w:w w:val="99"/>
        <w:sz w:val="20"/>
        <w:szCs w:val="20"/>
        <w:lang w:val="es-ES" w:eastAsia="en-US" w:bidi="ar-SA"/>
      </w:rPr>
    </w:lvl>
    <w:lvl w:ilvl="4">
      <w:numFmt w:val="bullet"/>
      <w:lvlText w:val="•"/>
      <w:lvlJc w:val="left"/>
      <w:pPr>
        <w:ind w:left="1700" w:hanging="360"/>
      </w:pPr>
      <w:rPr>
        <w:rFonts w:hint="default"/>
        <w:lang w:val="es-ES" w:eastAsia="en-US" w:bidi="ar-SA"/>
      </w:rPr>
    </w:lvl>
    <w:lvl w:ilvl="5">
      <w:numFmt w:val="bullet"/>
      <w:lvlText w:val="•"/>
      <w:lvlJc w:val="left"/>
      <w:pPr>
        <w:ind w:left="2976" w:hanging="360"/>
      </w:pPr>
      <w:rPr>
        <w:rFonts w:hint="default"/>
        <w:lang w:val="es-ES" w:eastAsia="en-US" w:bidi="ar-SA"/>
      </w:rPr>
    </w:lvl>
    <w:lvl w:ilvl="6">
      <w:numFmt w:val="bullet"/>
      <w:lvlText w:val="•"/>
      <w:lvlJc w:val="left"/>
      <w:pPr>
        <w:ind w:left="4253" w:hanging="360"/>
      </w:pPr>
      <w:rPr>
        <w:rFonts w:hint="default"/>
        <w:lang w:val="es-ES" w:eastAsia="en-US" w:bidi="ar-SA"/>
      </w:rPr>
    </w:lvl>
    <w:lvl w:ilvl="7">
      <w:numFmt w:val="bullet"/>
      <w:lvlText w:val="•"/>
      <w:lvlJc w:val="left"/>
      <w:pPr>
        <w:ind w:left="5530" w:hanging="360"/>
      </w:pPr>
      <w:rPr>
        <w:rFonts w:hint="default"/>
        <w:lang w:val="es-ES" w:eastAsia="en-US" w:bidi="ar-SA"/>
      </w:rPr>
    </w:lvl>
    <w:lvl w:ilvl="8">
      <w:numFmt w:val="bullet"/>
      <w:lvlText w:val="•"/>
      <w:lvlJc w:val="left"/>
      <w:pPr>
        <w:ind w:left="6806" w:hanging="360"/>
      </w:pPr>
      <w:rPr>
        <w:rFonts w:hint="default"/>
        <w:lang w:val="es-ES" w:eastAsia="en-US" w:bidi="ar-SA"/>
      </w:rPr>
    </w:lvl>
  </w:abstractNum>
  <w:abstractNum w:abstractNumId="5" w15:restartNumberingAfterBreak="0">
    <w:nsid w:val="0E8008A0"/>
    <w:multiLevelType w:val="multilevel"/>
    <w:tmpl w:val="00A2C08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2C96A27"/>
    <w:multiLevelType w:val="hybridMultilevel"/>
    <w:tmpl w:val="3EAA7832"/>
    <w:lvl w:ilvl="0" w:tplc="A5A4F820">
      <w:numFmt w:val="bullet"/>
      <w:lvlText w:val=""/>
      <w:lvlJc w:val="left"/>
      <w:pPr>
        <w:ind w:left="982" w:hanging="360"/>
      </w:pPr>
      <w:rPr>
        <w:rFonts w:ascii="Symbol" w:eastAsia="Symbol" w:hAnsi="Symbol" w:cs="Symbol" w:hint="default"/>
        <w:b w:val="0"/>
        <w:bCs w:val="0"/>
        <w:i w:val="0"/>
        <w:iCs w:val="0"/>
        <w:spacing w:val="0"/>
        <w:w w:val="99"/>
        <w:sz w:val="20"/>
        <w:szCs w:val="20"/>
        <w:lang w:val="es-ES" w:eastAsia="en-US" w:bidi="ar-SA"/>
      </w:rPr>
    </w:lvl>
    <w:lvl w:ilvl="1" w:tplc="9404F606">
      <w:numFmt w:val="bullet"/>
      <w:lvlText w:val="•"/>
      <w:lvlJc w:val="left"/>
      <w:pPr>
        <w:ind w:left="1818" w:hanging="360"/>
      </w:pPr>
      <w:rPr>
        <w:rFonts w:hint="default"/>
        <w:lang w:val="es-ES" w:eastAsia="en-US" w:bidi="ar-SA"/>
      </w:rPr>
    </w:lvl>
    <w:lvl w:ilvl="2" w:tplc="0B868EDE">
      <w:numFmt w:val="bullet"/>
      <w:lvlText w:val="•"/>
      <w:lvlJc w:val="left"/>
      <w:pPr>
        <w:ind w:left="2656" w:hanging="360"/>
      </w:pPr>
      <w:rPr>
        <w:rFonts w:hint="default"/>
        <w:lang w:val="es-ES" w:eastAsia="en-US" w:bidi="ar-SA"/>
      </w:rPr>
    </w:lvl>
    <w:lvl w:ilvl="3" w:tplc="46DCE286">
      <w:numFmt w:val="bullet"/>
      <w:lvlText w:val="•"/>
      <w:lvlJc w:val="left"/>
      <w:pPr>
        <w:ind w:left="3494" w:hanging="360"/>
      </w:pPr>
      <w:rPr>
        <w:rFonts w:hint="default"/>
        <w:lang w:val="es-ES" w:eastAsia="en-US" w:bidi="ar-SA"/>
      </w:rPr>
    </w:lvl>
    <w:lvl w:ilvl="4" w:tplc="AA76ED0C">
      <w:numFmt w:val="bullet"/>
      <w:lvlText w:val="•"/>
      <w:lvlJc w:val="left"/>
      <w:pPr>
        <w:ind w:left="4332" w:hanging="360"/>
      </w:pPr>
      <w:rPr>
        <w:rFonts w:hint="default"/>
        <w:lang w:val="es-ES" w:eastAsia="en-US" w:bidi="ar-SA"/>
      </w:rPr>
    </w:lvl>
    <w:lvl w:ilvl="5" w:tplc="A2681138">
      <w:numFmt w:val="bullet"/>
      <w:lvlText w:val="•"/>
      <w:lvlJc w:val="left"/>
      <w:pPr>
        <w:ind w:left="5170" w:hanging="360"/>
      </w:pPr>
      <w:rPr>
        <w:rFonts w:hint="default"/>
        <w:lang w:val="es-ES" w:eastAsia="en-US" w:bidi="ar-SA"/>
      </w:rPr>
    </w:lvl>
    <w:lvl w:ilvl="6" w:tplc="FDA8BAE0">
      <w:numFmt w:val="bullet"/>
      <w:lvlText w:val="•"/>
      <w:lvlJc w:val="left"/>
      <w:pPr>
        <w:ind w:left="6008" w:hanging="360"/>
      </w:pPr>
      <w:rPr>
        <w:rFonts w:hint="default"/>
        <w:lang w:val="es-ES" w:eastAsia="en-US" w:bidi="ar-SA"/>
      </w:rPr>
    </w:lvl>
    <w:lvl w:ilvl="7" w:tplc="D18A2BA8">
      <w:numFmt w:val="bullet"/>
      <w:lvlText w:val="•"/>
      <w:lvlJc w:val="left"/>
      <w:pPr>
        <w:ind w:left="6846" w:hanging="360"/>
      </w:pPr>
      <w:rPr>
        <w:rFonts w:hint="default"/>
        <w:lang w:val="es-ES" w:eastAsia="en-US" w:bidi="ar-SA"/>
      </w:rPr>
    </w:lvl>
    <w:lvl w:ilvl="8" w:tplc="13FC26F4">
      <w:numFmt w:val="bullet"/>
      <w:lvlText w:val="•"/>
      <w:lvlJc w:val="left"/>
      <w:pPr>
        <w:ind w:left="7684" w:hanging="360"/>
      </w:pPr>
      <w:rPr>
        <w:rFonts w:hint="default"/>
        <w:lang w:val="es-ES" w:eastAsia="en-US" w:bidi="ar-SA"/>
      </w:rPr>
    </w:lvl>
  </w:abstractNum>
  <w:abstractNum w:abstractNumId="7" w15:restartNumberingAfterBreak="0">
    <w:nsid w:val="14B0649D"/>
    <w:multiLevelType w:val="hybridMultilevel"/>
    <w:tmpl w:val="5B727CD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15:restartNumberingAfterBreak="0">
    <w:nsid w:val="193825C4"/>
    <w:multiLevelType w:val="hybridMultilevel"/>
    <w:tmpl w:val="1572351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 w15:restartNumberingAfterBreak="0">
    <w:nsid w:val="19F4551A"/>
    <w:multiLevelType w:val="multilevel"/>
    <w:tmpl w:val="318A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543B0C"/>
    <w:multiLevelType w:val="multilevel"/>
    <w:tmpl w:val="02A0051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3F686F"/>
    <w:multiLevelType w:val="hybridMultilevel"/>
    <w:tmpl w:val="A19432BE"/>
    <w:lvl w:ilvl="0" w:tplc="8E84E3B8">
      <w:numFmt w:val="bullet"/>
      <w:lvlText w:val=""/>
      <w:lvlJc w:val="left"/>
      <w:pPr>
        <w:ind w:left="720" w:hanging="360"/>
      </w:pPr>
      <w:rPr>
        <w:rFonts w:ascii="Times New Roman" w:eastAsia="Calibri"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 w15:restartNumberingAfterBreak="0">
    <w:nsid w:val="1DBA1064"/>
    <w:multiLevelType w:val="multilevel"/>
    <w:tmpl w:val="EE24A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322E92"/>
    <w:multiLevelType w:val="multilevel"/>
    <w:tmpl w:val="CB982BF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6A57CD"/>
    <w:multiLevelType w:val="hybridMultilevel"/>
    <w:tmpl w:val="22DE0D52"/>
    <w:lvl w:ilvl="0" w:tplc="300A000F">
      <w:start w:val="1"/>
      <w:numFmt w:val="decimal"/>
      <w:lvlText w:val="%1."/>
      <w:lvlJc w:val="left"/>
      <w:pPr>
        <w:ind w:left="981" w:hanging="360"/>
      </w:pPr>
    </w:lvl>
    <w:lvl w:ilvl="1" w:tplc="300A0019" w:tentative="1">
      <w:start w:val="1"/>
      <w:numFmt w:val="lowerLetter"/>
      <w:lvlText w:val="%2."/>
      <w:lvlJc w:val="left"/>
      <w:pPr>
        <w:ind w:left="1701" w:hanging="360"/>
      </w:pPr>
    </w:lvl>
    <w:lvl w:ilvl="2" w:tplc="300A001B" w:tentative="1">
      <w:start w:val="1"/>
      <w:numFmt w:val="lowerRoman"/>
      <w:lvlText w:val="%3."/>
      <w:lvlJc w:val="right"/>
      <w:pPr>
        <w:ind w:left="2421" w:hanging="180"/>
      </w:pPr>
    </w:lvl>
    <w:lvl w:ilvl="3" w:tplc="300A000F" w:tentative="1">
      <w:start w:val="1"/>
      <w:numFmt w:val="decimal"/>
      <w:lvlText w:val="%4."/>
      <w:lvlJc w:val="left"/>
      <w:pPr>
        <w:ind w:left="3141" w:hanging="360"/>
      </w:pPr>
    </w:lvl>
    <w:lvl w:ilvl="4" w:tplc="300A0019" w:tentative="1">
      <w:start w:val="1"/>
      <w:numFmt w:val="lowerLetter"/>
      <w:lvlText w:val="%5."/>
      <w:lvlJc w:val="left"/>
      <w:pPr>
        <w:ind w:left="3861" w:hanging="360"/>
      </w:pPr>
    </w:lvl>
    <w:lvl w:ilvl="5" w:tplc="300A001B" w:tentative="1">
      <w:start w:val="1"/>
      <w:numFmt w:val="lowerRoman"/>
      <w:lvlText w:val="%6."/>
      <w:lvlJc w:val="right"/>
      <w:pPr>
        <w:ind w:left="4581" w:hanging="180"/>
      </w:pPr>
    </w:lvl>
    <w:lvl w:ilvl="6" w:tplc="300A000F" w:tentative="1">
      <w:start w:val="1"/>
      <w:numFmt w:val="decimal"/>
      <w:lvlText w:val="%7."/>
      <w:lvlJc w:val="left"/>
      <w:pPr>
        <w:ind w:left="5301" w:hanging="360"/>
      </w:pPr>
    </w:lvl>
    <w:lvl w:ilvl="7" w:tplc="300A0019" w:tentative="1">
      <w:start w:val="1"/>
      <w:numFmt w:val="lowerLetter"/>
      <w:lvlText w:val="%8."/>
      <w:lvlJc w:val="left"/>
      <w:pPr>
        <w:ind w:left="6021" w:hanging="360"/>
      </w:pPr>
    </w:lvl>
    <w:lvl w:ilvl="8" w:tplc="300A001B" w:tentative="1">
      <w:start w:val="1"/>
      <w:numFmt w:val="lowerRoman"/>
      <w:lvlText w:val="%9."/>
      <w:lvlJc w:val="right"/>
      <w:pPr>
        <w:ind w:left="6741" w:hanging="180"/>
      </w:pPr>
    </w:lvl>
  </w:abstractNum>
  <w:abstractNum w:abstractNumId="15" w15:restartNumberingAfterBreak="0">
    <w:nsid w:val="29A02605"/>
    <w:multiLevelType w:val="hybridMultilevel"/>
    <w:tmpl w:val="87B839B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15:restartNumberingAfterBreak="0">
    <w:nsid w:val="2F836118"/>
    <w:multiLevelType w:val="multilevel"/>
    <w:tmpl w:val="55C62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A17C8"/>
    <w:multiLevelType w:val="multilevel"/>
    <w:tmpl w:val="02FE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00199B"/>
    <w:multiLevelType w:val="multilevel"/>
    <w:tmpl w:val="301E6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45570A"/>
    <w:multiLevelType w:val="hybridMultilevel"/>
    <w:tmpl w:val="BF06B94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0" w15:restartNumberingAfterBreak="0">
    <w:nsid w:val="3E434E36"/>
    <w:multiLevelType w:val="multilevel"/>
    <w:tmpl w:val="8550D41C"/>
    <w:lvl w:ilvl="0">
      <w:start w:val="1"/>
      <w:numFmt w:val="decimal"/>
      <w:lvlText w:val="%1."/>
      <w:lvlJc w:val="left"/>
      <w:pPr>
        <w:ind w:left="509" w:hanging="248"/>
      </w:pPr>
      <w:rPr>
        <w:rFonts w:hint="default"/>
        <w:spacing w:val="-1"/>
        <w:w w:val="81"/>
        <w:sz w:val="26"/>
        <w:szCs w:val="26"/>
        <w:lang w:val="es-ES" w:eastAsia="en-US" w:bidi="ar-SA"/>
      </w:rPr>
    </w:lvl>
    <w:lvl w:ilvl="1">
      <w:start w:val="1"/>
      <w:numFmt w:val="decimal"/>
      <w:lvlText w:val="%1.%2."/>
      <w:lvlJc w:val="left"/>
      <w:pPr>
        <w:ind w:left="262" w:hanging="447"/>
      </w:pPr>
      <w:rPr>
        <w:rFonts w:ascii="Arial" w:eastAsia="Trebuchet MS" w:hAnsi="Arial" w:cs="Arial" w:hint="default"/>
        <w:b/>
        <w:bCs/>
        <w:i w:val="0"/>
        <w:iCs w:val="0"/>
        <w:spacing w:val="0"/>
        <w:w w:val="87"/>
        <w:sz w:val="20"/>
        <w:szCs w:val="20"/>
        <w:lang w:val="es-ES" w:eastAsia="en-US" w:bidi="ar-SA"/>
      </w:rPr>
    </w:lvl>
    <w:lvl w:ilvl="2">
      <w:start w:val="1"/>
      <w:numFmt w:val="upperRoman"/>
      <w:lvlText w:val="%3."/>
      <w:lvlJc w:val="right"/>
      <w:pPr>
        <w:ind w:left="982" w:hanging="360"/>
      </w:pPr>
    </w:lvl>
    <w:lvl w:ilvl="3">
      <w:numFmt w:val="bullet"/>
      <w:lvlText w:val="o"/>
      <w:lvlJc w:val="left"/>
      <w:pPr>
        <w:ind w:left="1702" w:hanging="360"/>
      </w:pPr>
      <w:rPr>
        <w:rFonts w:ascii="Courier New" w:eastAsia="Courier New" w:hAnsi="Courier New" w:cs="Courier New" w:hint="default"/>
        <w:b w:val="0"/>
        <w:bCs w:val="0"/>
        <w:i w:val="0"/>
        <w:iCs w:val="0"/>
        <w:spacing w:val="0"/>
        <w:w w:val="99"/>
        <w:sz w:val="20"/>
        <w:szCs w:val="20"/>
        <w:lang w:val="es-ES" w:eastAsia="en-US" w:bidi="ar-SA"/>
      </w:rPr>
    </w:lvl>
    <w:lvl w:ilvl="4">
      <w:numFmt w:val="bullet"/>
      <w:lvlText w:val="•"/>
      <w:lvlJc w:val="left"/>
      <w:pPr>
        <w:ind w:left="1700" w:hanging="360"/>
      </w:pPr>
      <w:rPr>
        <w:rFonts w:hint="default"/>
        <w:lang w:val="es-ES" w:eastAsia="en-US" w:bidi="ar-SA"/>
      </w:rPr>
    </w:lvl>
    <w:lvl w:ilvl="5">
      <w:numFmt w:val="bullet"/>
      <w:lvlText w:val="•"/>
      <w:lvlJc w:val="left"/>
      <w:pPr>
        <w:ind w:left="2976" w:hanging="360"/>
      </w:pPr>
      <w:rPr>
        <w:rFonts w:hint="default"/>
        <w:lang w:val="es-ES" w:eastAsia="en-US" w:bidi="ar-SA"/>
      </w:rPr>
    </w:lvl>
    <w:lvl w:ilvl="6">
      <w:numFmt w:val="bullet"/>
      <w:lvlText w:val="•"/>
      <w:lvlJc w:val="left"/>
      <w:pPr>
        <w:ind w:left="4253" w:hanging="360"/>
      </w:pPr>
      <w:rPr>
        <w:rFonts w:hint="default"/>
        <w:lang w:val="es-ES" w:eastAsia="en-US" w:bidi="ar-SA"/>
      </w:rPr>
    </w:lvl>
    <w:lvl w:ilvl="7">
      <w:numFmt w:val="bullet"/>
      <w:lvlText w:val="•"/>
      <w:lvlJc w:val="left"/>
      <w:pPr>
        <w:ind w:left="5530" w:hanging="360"/>
      </w:pPr>
      <w:rPr>
        <w:rFonts w:hint="default"/>
        <w:lang w:val="es-ES" w:eastAsia="en-US" w:bidi="ar-SA"/>
      </w:rPr>
    </w:lvl>
    <w:lvl w:ilvl="8">
      <w:numFmt w:val="bullet"/>
      <w:lvlText w:val="•"/>
      <w:lvlJc w:val="left"/>
      <w:pPr>
        <w:ind w:left="6806" w:hanging="360"/>
      </w:pPr>
      <w:rPr>
        <w:rFonts w:hint="default"/>
        <w:lang w:val="es-ES" w:eastAsia="en-US" w:bidi="ar-SA"/>
      </w:rPr>
    </w:lvl>
  </w:abstractNum>
  <w:abstractNum w:abstractNumId="21" w15:restartNumberingAfterBreak="0">
    <w:nsid w:val="4A9E57F9"/>
    <w:multiLevelType w:val="hybridMultilevel"/>
    <w:tmpl w:val="B066DE6C"/>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4AEC072E"/>
    <w:multiLevelType w:val="multilevel"/>
    <w:tmpl w:val="4F68A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A93916"/>
    <w:multiLevelType w:val="multilevel"/>
    <w:tmpl w:val="9600F5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F76BF1"/>
    <w:multiLevelType w:val="hybridMultilevel"/>
    <w:tmpl w:val="D3ECAFB8"/>
    <w:lvl w:ilvl="0" w:tplc="180E315A">
      <w:numFmt w:val="bullet"/>
      <w:lvlText w:val=""/>
      <w:lvlJc w:val="left"/>
      <w:pPr>
        <w:ind w:left="720" w:hanging="360"/>
      </w:pPr>
      <w:rPr>
        <w:rFonts w:ascii="Symbol" w:eastAsiaTheme="minorHAnsi" w:hAnsi="Symbol"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5" w15:restartNumberingAfterBreak="0">
    <w:nsid w:val="5486574B"/>
    <w:multiLevelType w:val="multilevel"/>
    <w:tmpl w:val="EAA676F4"/>
    <w:lvl w:ilvl="0">
      <w:start w:val="1"/>
      <w:numFmt w:val="decimal"/>
      <w:lvlText w:val="%1."/>
      <w:lvlJc w:val="left"/>
      <w:pPr>
        <w:ind w:left="509" w:hanging="248"/>
      </w:pPr>
      <w:rPr>
        <w:rFonts w:hint="default"/>
        <w:spacing w:val="-1"/>
        <w:w w:val="81"/>
        <w:sz w:val="26"/>
        <w:szCs w:val="26"/>
        <w:lang w:val="es-ES" w:eastAsia="en-US" w:bidi="ar-SA"/>
      </w:rPr>
    </w:lvl>
    <w:lvl w:ilvl="1">
      <w:start w:val="1"/>
      <w:numFmt w:val="decimal"/>
      <w:lvlText w:val="%1.%2."/>
      <w:lvlJc w:val="left"/>
      <w:pPr>
        <w:ind w:left="262" w:hanging="447"/>
      </w:pPr>
      <w:rPr>
        <w:rFonts w:ascii="Arial" w:eastAsia="Trebuchet MS" w:hAnsi="Arial" w:cs="Arial" w:hint="default"/>
        <w:b/>
        <w:bCs/>
        <w:i w:val="0"/>
        <w:iCs w:val="0"/>
        <w:spacing w:val="0"/>
        <w:w w:val="87"/>
        <w:sz w:val="20"/>
        <w:szCs w:val="20"/>
        <w:lang w:val="es-ES" w:eastAsia="en-US" w:bidi="ar-SA"/>
      </w:rPr>
    </w:lvl>
    <w:lvl w:ilvl="2">
      <w:start w:val="1"/>
      <w:numFmt w:val="upperRoman"/>
      <w:lvlText w:val="%3."/>
      <w:lvlJc w:val="right"/>
      <w:pPr>
        <w:ind w:left="982" w:hanging="360"/>
      </w:pPr>
    </w:lvl>
    <w:lvl w:ilvl="3">
      <w:numFmt w:val="bullet"/>
      <w:lvlText w:val="o"/>
      <w:lvlJc w:val="left"/>
      <w:pPr>
        <w:ind w:left="1702" w:hanging="360"/>
      </w:pPr>
      <w:rPr>
        <w:rFonts w:ascii="Courier New" w:eastAsia="Courier New" w:hAnsi="Courier New" w:cs="Courier New" w:hint="default"/>
        <w:b w:val="0"/>
        <w:bCs w:val="0"/>
        <w:i w:val="0"/>
        <w:iCs w:val="0"/>
        <w:spacing w:val="0"/>
        <w:w w:val="99"/>
        <w:sz w:val="20"/>
        <w:szCs w:val="20"/>
        <w:lang w:val="es-ES" w:eastAsia="en-US" w:bidi="ar-SA"/>
      </w:rPr>
    </w:lvl>
    <w:lvl w:ilvl="4">
      <w:numFmt w:val="bullet"/>
      <w:lvlText w:val="•"/>
      <w:lvlJc w:val="left"/>
      <w:pPr>
        <w:ind w:left="1700" w:hanging="360"/>
      </w:pPr>
      <w:rPr>
        <w:rFonts w:hint="default"/>
        <w:lang w:val="es-ES" w:eastAsia="en-US" w:bidi="ar-SA"/>
      </w:rPr>
    </w:lvl>
    <w:lvl w:ilvl="5">
      <w:numFmt w:val="bullet"/>
      <w:lvlText w:val="•"/>
      <w:lvlJc w:val="left"/>
      <w:pPr>
        <w:ind w:left="2976" w:hanging="360"/>
      </w:pPr>
      <w:rPr>
        <w:rFonts w:hint="default"/>
        <w:lang w:val="es-ES" w:eastAsia="en-US" w:bidi="ar-SA"/>
      </w:rPr>
    </w:lvl>
    <w:lvl w:ilvl="6">
      <w:numFmt w:val="bullet"/>
      <w:lvlText w:val="•"/>
      <w:lvlJc w:val="left"/>
      <w:pPr>
        <w:ind w:left="4253" w:hanging="360"/>
      </w:pPr>
      <w:rPr>
        <w:rFonts w:hint="default"/>
        <w:lang w:val="es-ES" w:eastAsia="en-US" w:bidi="ar-SA"/>
      </w:rPr>
    </w:lvl>
    <w:lvl w:ilvl="7">
      <w:numFmt w:val="bullet"/>
      <w:lvlText w:val="•"/>
      <w:lvlJc w:val="left"/>
      <w:pPr>
        <w:ind w:left="5530" w:hanging="360"/>
      </w:pPr>
      <w:rPr>
        <w:rFonts w:hint="default"/>
        <w:lang w:val="es-ES" w:eastAsia="en-US" w:bidi="ar-SA"/>
      </w:rPr>
    </w:lvl>
    <w:lvl w:ilvl="8">
      <w:numFmt w:val="bullet"/>
      <w:lvlText w:val="•"/>
      <w:lvlJc w:val="left"/>
      <w:pPr>
        <w:ind w:left="6806" w:hanging="360"/>
      </w:pPr>
      <w:rPr>
        <w:rFonts w:hint="default"/>
        <w:lang w:val="es-ES" w:eastAsia="en-US" w:bidi="ar-SA"/>
      </w:rPr>
    </w:lvl>
  </w:abstractNum>
  <w:abstractNum w:abstractNumId="26" w15:restartNumberingAfterBreak="0">
    <w:nsid w:val="59777F68"/>
    <w:multiLevelType w:val="hybridMultilevel"/>
    <w:tmpl w:val="094AD3A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7" w15:restartNumberingAfterBreak="0">
    <w:nsid w:val="61F25DA8"/>
    <w:multiLevelType w:val="multilevel"/>
    <w:tmpl w:val="8FA653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1A41B1"/>
    <w:multiLevelType w:val="multilevel"/>
    <w:tmpl w:val="65689E82"/>
    <w:lvl w:ilvl="0">
      <w:start w:val="1"/>
      <w:numFmt w:val="decimal"/>
      <w:lvlText w:val="%1."/>
      <w:lvlJc w:val="left"/>
      <w:pPr>
        <w:ind w:left="509" w:hanging="248"/>
      </w:pPr>
      <w:rPr>
        <w:rFonts w:hint="default"/>
        <w:spacing w:val="-1"/>
        <w:w w:val="81"/>
        <w:sz w:val="26"/>
        <w:szCs w:val="26"/>
        <w:lang w:val="es-ES" w:eastAsia="en-US" w:bidi="ar-SA"/>
      </w:rPr>
    </w:lvl>
    <w:lvl w:ilvl="1">
      <w:start w:val="1"/>
      <w:numFmt w:val="decimal"/>
      <w:lvlText w:val="%1.%2."/>
      <w:lvlJc w:val="left"/>
      <w:pPr>
        <w:ind w:left="262" w:hanging="447"/>
      </w:pPr>
      <w:rPr>
        <w:rFonts w:ascii="Arial" w:eastAsia="Trebuchet MS" w:hAnsi="Arial" w:cs="Arial" w:hint="default"/>
        <w:b/>
        <w:bCs/>
        <w:i w:val="0"/>
        <w:iCs w:val="0"/>
        <w:spacing w:val="0"/>
        <w:w w:val="87"/>
        <w:sz w:val="20"/>
        <w:szCs w:val="20"/>
        <w:lang w:val="es-ES" w:eastAsia="en-US" w:bidi="ar-SA"/>
      </w:rPr>
    </w:lvl>
    <w:lvl w:ilvl="2">
      <w:start w:val="1"/>
      <w:numFmt w:val="decimal"/>
      <w:lvlText w:val="%3."/>
      <w:lvlJc w:val="left"/>
      <w:pPr>
        <w:ind w:left="982" w:hanging="360"/>
      </w:pPr>
      <w:rPr>
        <w:rFonts w:ascii="Trebuchet MS" w:eastAsia="Trebuchet MS" w:hAnsi="Trebuchet MS" w:cs="Trebuchet MS" w:hint="default"/>
        <w:b w:val="0"/>
        <w:bCs w:val="0"/>
        <w:i w:val="0"/>
        <w:iCs w:val="0"/>
        <w:spacing w:val="-1"/>
        <w:w w:val="92"/>
        <w:sz w:val="22"/>
        <w:szCs w:val="22"/>
        <w:lang w:val="es-ES" w:eastAsia="en-US" w:bidi="ar-SA"/>
      </w:rPr>
    </w:lvl>
    <w:lvl w:ilvl="3">
      <w:numFmt w:val="bullet"/>
      <w:lvlText w:val="o"/>
      <w:lvlJc w:val="left"/>
      <w:pPr>
        <w:ind w:left="1702" w:hanging="360"/>
      </w:pPr>
      <w:rPr>
        <w:rFonts w:ascii="Courier New" w:eastAsia="Courier New" w:hAnsi="Courier New" w:cs="Courier New" w:hint="default"/>
        <w:b w:val="0"/>
        <w:bCs w:val="0"/>
        <w:i w:val="0"/>
        <w:iCs w:val="0"/>
        <w:spacing w:val="0"/>
        <w:w w:val="99"/>
        <w:sz w:val="20"/>
        <w:szCs w:val="20"/>
        <w:lang w:val="es-ES" w:eastAsia="en-US" w:bidi="ar-SA"/>
      </w:rPr>
    </w:lvl>
    <w:lvl w:ilvl="4">
      <w:numFmt w:val="bullet"/>
      <w:lvlText w:val="•"/>
      <w:lvlJc w:val="left"/>
      <w:pPr>
        <w:ind w:left="1700" w:hanging="360"/>
      </w:pPr>
      <w:rPr>
        <w:rFonts w:hint="default"/>
        <w:lang w:val="es-ES" w:eastAsia="en-US" w:bidi="ar-SA"/>
      </w:rPr>
    </w:lvl>
    <w:lvl w:ilvl="5">
      <w:numFmt w:val="bullet"/>
      <w:lvlText w:val="•"/>
      <w:lvlJc w:val="left"/>
      <w:pPr>
        <w:ind w:left="2976" w:hanging="360"/>
      </w:pPr>
      <w:rPr>
        <w:rFonts w:hint="default"/>
        <w:lang w:val="es-ES" w:eastAsia="en-US" w:bidi="ar-SA"/>
      </w:rPr>
    </w:lvl>
    <w:lvl w:ilvl="6">
      <w:numFmt w:val="bullet"/>
      <w:lvlText w:val="•"/>
      <w:lvlJc w:val="left"/>
      <w:pPr>
        <w:ind w:left="4253" w:hanging="360"/>
      </w:pPr>
      <w:rPr>
        <w:rFonts w:hint="default"/>
        <w:lang w:val="es-ES" w:eastAsia="en-US" w:bidi="ar-SA"/>
      </w:rPr>
    </w:lvl>
    <w:lvl w:ilvl="7">
      <w:numFmt w:val="bullet"/>
      <w:lvlText w:val="•"/>
      <w:lvlJc w:val="left"/>
      <w:pPr>
        <w:ind w:left="5530" w:hanging="360"/>
      </w:pPr>
      <w:rPr>
        <w:rFonts w:hint="default"/>
        <w:lang w:val="es-ES" w:eastAsia="en-US" w:bidi="ar-SA"/>
      </w:rPr>
    </w:lvl>
    <w:lvl w:ilvl="8">
      <w:numFmt w:val="bullet"/>
      <w:lvlText w:val="•"/>
      <w:lvlJc w:val="left"/>
      <w:pPr>
        <w:ind w:left="6806" w:hanging="360"/>
      </w:pPr>
      <w:rPr>
        <w:rFonts w:hint="default"/>
        <w:lang w:val="es-ES" w:eastAsia="en-US" w:bidi="ar-SA"/>
      </w:rPr>
    </w:lvl>
  </w:abstractNum>
  <w:abstractNum w:abstractNumId="29" w15:restartNumberingAfterBreak="0">
    <w:nsid w:val="66FB68D7"/>
    <w:multiLevelType w:val="multilevel"/>
    <w:tmpl w:val="B8C2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F60394"/>
    <w:multiLevelType w:val="hybridMultilevel"/>
    <w:tmpl w:val="CDCA7E90"/>
    <w:lvl w:ilvl="0" w:tplc="CA30388A">
      <w:numFmt w:val="bullet"/>
      <w:lvlText w:val=""/>
      <w:lvlJc w:val="left"/>
      <w:pPr>
        <w:ind w:left="982" w:hanging="360"/>
      </w:pPr>
      <w:rPr>
        <w:rFonts w:ascii="Symbol" w:eastAsia="Symbol" w:hAnsi="Symbol" w:cs="Symbol" w:hint="default"/>
        <w:b w:val="0"/>
        <w:bCs w:val="0"/>
        <w:i w:val="0"/>
        <w:iCs w:val="0"/>
        <w:spacing w:val="0"/>
        <w:w w:val="99"/>
        <w:sz w:val="20"/>
        <w:szCs w:val="20"/>
        <w:lang w:val="es-ES" w:eastAsia="en-US" w:bidi="ar-SA"/>
      </w:rPr>
    </w:lvl>
    <w:lvl w:ilvl="1" w:tplc="7FC66700">
      <w:numFmt w:val="bullet"/>
      <w:lvlText w:val="•"/>
      <w:lvlJc w:val="left"/>
      <w:pPr>
        <w:ind w:left="1818" w:hanging="360"/>
      </w:pPr>
      <w:rPr>
        <w:rFonts w:hint="default"/>
        <w:lang w:val="es-ES" w:eastAsia="en-US" w:bidi="ar-SA"/>
      </w:rPr>
    </w:lvl>
    <w:lvl w:ilvl="2" w:tplc="C20CB72E">
      <w:numFmt w:val="bullet"/>
      <w:lvlText w:val="•"/>
      <w:lvlJc w:val="left"/>
      <w:pPr>
        <w:ind w:left="2656" w:hanging="360"/>
      </w:pPr>
      <w:rPr>
        <w:rFonts w:hint="default"/>
        <w:lang w:val="es-ES" w:eastAsia="en-US" w:bidi="ar-SA"/>
      </w:rPr>
    </w:lvl>
    <w:lvl w:ilvl="3" w:tplc="D0DAD73C">
      <w:numFmt w:val="bullet"/>
      <w:lvlText w:val="•"/>
      <w:lvlJc w:val="left"/>
      <w:pPr>
        <w:ind w:left="3494" w:hanging="360"/>
      </w:pPr>
      <w:rPr>
        <w:rFonts w:hint="default"/>
        <w:lang w:val="es-ES" w:eastAsia="en-US" w:bidi="ar-SA"/>
      </w:rPr>
    </w:lvl>
    <w:lvl w:ilvl="4" w:tplc="D3143A88">
      <w:numFmt w:val="bullet"/>
      <w:lvlText w:val="•"/>
      <w:lvlJc w:val="left"/>
      <w:pPr>
        <w:ind w:left="4332" w:hanging="360"/>
      </w:pPr>
      <w:rPr>
        <w:rFonts w:hint="default"/>
        <w:lang w:val="es-ES" w:eastAsia="en-US" w:bidi="ar-SA"/>
      </w:rPr>
    </w:lvl>
    <w:lvl w:ilvl="5" w:tplc="ED0468DE">
      <w:numFmt w:val="bullet"/>
      <w:lvlText w:val="•"/>
      <w:lvlJc w:val="left"/>
      <w:pPr>
        <w:ind w:left="5170" w:hanging="360"/>
      </w:pPr>
      <w:rPr>
        <w:rFonts w:hint="default"/>
        <w:lang w:val="es-ES" w:eastAsia="en-US" w:bidi="ar-SA"/>
      </w:rPr>
    </w:lvl>
    <w:lvl w:ilvl="6" w:tplc="91723966">
      <w:numFmt w:val="bullet"/>
      <w:lvlText w:val="•"/>
      <w:lvlJc w:val="left"/>
      <w:pPr>
        <w:ind w:left="6008" w:hanging="360"/>
      </w:pPr>
      <w:rPr>
        <w:rFonts w:hint="default"/>
        <w:lang w:val="es-ES" w:eastAsia="en-US" w:bidi="ar-SA"/>
      </w:rPr>
    </w:lvl>
    <w:lvl w:ilvl="7" w:tplc="56DCD0FA">
      <w:numFmt w:val="bullet"/>
      <w:lvlText w:val="•"/>
      <w:lvlJc w:val="left"/>
      <w:pPr>
        <w:ind w:left="6846" w:hanging="360"/>
      </w:pPr>
      <w:rPr>
        <w:rFonts w:hint="default"/>
        <w:lang w:val="es-ES" w:eastAsia="en-US" w:bidi="ar-SA"/>
      </w:rPr>
    </w:lvl>
    <w:lvl w:ilvl="8" w:tplc="ADBCA5EA">
      <w:numFmt w:val="bullet"/>
      <w:lvlText w:val="•"/>
      <w:lvlJc w:val="left"/>
      <w:pPr>
        <w:ind w:left="7684" w:hanging="360"/>
      </w:pPr>
      <w:rPr>
        <w:rFonts w:hint="default"/>
        <w:lang w:val="es-ES" w:eastAsia="en-US" w:bidi="ar-SA"/>
      </w:rPr>
    </w:lvl>
  </w:abstractNum>
  <w:abstractNum w:abstractNumId="31" w15:restartNumberingAfterBreak="0">
    <w:nsid w:val="68403FBF"/>
    <w:multiLevelType w:val="hybridMultilevel"/>
    <w:tmpl w:val="94146B64"/>
    <w:lvl w:ilvl="0" w:tplc="7B8C1596">
      <w:numFmt w:val="bullet"/>
      <w:lvlText w:val=""/>
      <w:lvlJc w:val="left"/>
      <w:pPr>
        <w:ind w:left="982" w:hanging="360"/>
      </w:pPr>
      <w:rPr>
        <w:rFonts w:ascii="Symbol" w:eastAsia="Symbol" w:hAnsi="Symbol" w:cs="Symbol" w:hint="default"/>
        <w:b w:val="0"/>
        <w:bCs w:val="0"/>
        <w:i w:val="0"/>
        <w:iCs w:val="0"/>
        <w:spacing w:val="0"/>
        <w:w w:val="99"/>
        <w:sz w:val="20"/>
        <w:szCs w:val="20"/>
        <w:lang w:val="es-ES" w:eastAsia="en-US" w:bidi="ar-SA"/>
      </w:rPr>
    </w:lvl>
    <w:lvl w:ilvl="1" w:tplc="8838646C">
      <w:numFmt w:val="bullet"/>
      <w:lvlText w:val="•"/>
      <w:lvlJc w:val="left"/>
      <w:pPr>
        <w:ind w:left="1818" w:hanging="360"/>
      </w:pPr>
      <w:rPr>
        <w:rFonts w:hint="default"/>
        <w:lang w:val="es-ES" w:eastAsia="en-US" w:bidi="ar-SA"/>
      </w:rPr>
    </w:lvl>
    <w:lvl w:ilvl="2" w:tplc="DFA8AC98">
      <w:numFmt w:val="bullet"/>
      <w:lvlText w:val="•"/>
      <w:lvlJc w:val="left"/>
      <w:pPr>
        <w:ind w:left="2656" w:hanging="360"/>
      </w:pPr>
      <w:rPr>
        <w:rFonts w:hint="default"/>
        <w:lang w:val="es-ES" w:eastAsia="en-US" w:bidi="ar-SA"/>
      </w:rPr>
    </w:lvl>
    <w:lvl w:ilvl="3" w:tplc="C79EB2DA">
      <w:numFmt w:val="bullet"/>
      <w:lvlText w:val="•"/>
      <w:lvlJc w:val="left"/>
      <w:pPr>
        <w:ind w:left="3494" w:hanging="360"/>
      </w:pPr>
      <w:rPr>
        <w:rFonts w:hint="default"/>
        <w:lang w:val="es-ES" w:eastAsia="en-US" w:bidi="ar-SA"/>
      </w:rPr>
    </w:lvl>
    <w:lvl w:ilvl="4" w:tplc="E826A7C4">
      <w:numFmt w:val="bullet"/>
      <w:lvlText w:val="•"/>
      <w:lvlJc w:val="left"/>
      <w:pPr>
        <w:ind w:left="4332" w:hanging="360"/>
      </w:pPr>
      <w:rPr>
        <w:rFonts w:hint="default"/>
        <w:lang w:val="es-ES" w:eastAsia="en-US" w:bidi="ar-SA"/>
      </w:rPr>
    </w:lvl>
    <w:lvl w:ilvl="5" w:tplc="76F05AF8">
      <w:numFmt w:val="bullet"/>
      <w:lvlText w:val="•"/>
      <w:lvlJc w:val="left"/>
      <w:pPr>
        <w:ind w:left="5170" w:hanging="360"/>
      </w:pPr>
      <w:rPr>
        <w:rFonts w:hint="default"/>
        <w:lang w:val="es-ES" w:eastAsia="en-US" w:bidi="ar-SA"/>
      </w:rPr>
    </w:lvl>
    <w:lvl w:ilvl="6" w:tplc="59EE9174">
      <w:numFmt w:val="bullet"/>
      <w:lvlText w:val="•"/>
      <w:lvlJc w:val="left"/>
      <w:pPr>
        <w:ind w:left="6008" w:hanging="360"/>
      </w:pPr>
      <w:rPr>
        <w:rFonts w:hint="default"/>
        <w:lang w:val="es-ES" w:eastAsia="en-US" w:bidi="ar-SA"/>
      </w:rPr>
    </w:lvl>
    <w:lvl w:ilvl="7" w:tplc="A1D01816">
      <w:numFmt w:val="bullet"/>
      <w:lvlText w:val="•"/>
      <w:lvlJc w:val="left"/>
      <w:pPr>
        <w:ind w:left="6846" w:hanging="360"/>
      </w:pPr>
      <w:rPr>
        <w:rFonts w:hint="default"/>
        <w:lang w:val="es-ES" w:eastAsia="en-US" w:bidi="ar-SA"/>
      </w:rPr>
    </w:lvl>
    <w:lvl w:ilvl="8" w:tplc="60A63428">
      <w:numFmt w:val="bullet"/>
      <w:lvlText w:val="•"/>
      <w:lvlJc w:val="left"/>
      <w:pPr>
        <w:ind w:left="7684" w:hanging="360"/>
      </w:pPr>
      <w:rPr>
        <w:rFonts w:hint="default"/>
        <w:lang w:val="es-ES" w:eastAsia="en-US" w:bidi="ar-SA"/>
      </w:rPr>
    </w:lvl>
  </w:abstractNum>
  <w:abstractNum w:abstractNumId="32" w15:restartNumberingAfterBreak="0">
    <w:nsid w:val="68EA29E1"/>
    <w:multiLevelType w:val="hybridMultilevel"/>
    <w:tmpl w:val="CEFE657A"/>
    <w:lvl w:ilvl="0" w:tplc="300A000F">
      <w:start w:val="1"/>
      <w:numFmt w:val="decimal"/>
      <w:lvlText w:val="%1."/>
      <w:lvlJc w:val="left"/>
      <w:pPr>
        <w:ind w:left="1287" w:hanging="360"/>
      </w:pPr>
    </w:lvl>
    <w:lvl w:ilvl="1" w:tplc="300A0019" w:tentative="1">
      <w:start w:val="1"/>
      <w:numFmt w:val="lowerLetter"/>
      <w:lvlText w:val="%2."/>
      <w:lvlJc w:val="left"/>
      <w:pPr>
        <w:ind w:left="2007" w:hanging="360"/>
      </w:pPr>
    </w:lvl>
    <w:lvl w:ilvl="2" w:tplc="300A001B" w:tentative="1">
      <w:start w:val="1"/>
      <w:numFmt w:val="lowerRoman"/>
      <w:lvlText w:val="%3."/>
      <w:lvlJc w:val="right"/>
      <w:pPr>
        <w:ind w:left="2727" w:hanging="180"/>
      </w:pPr>
    </w:lvl>
    <w:lvl w:ilvl="3" w:tplc="300A000F" w:tentative="1">
      <w:start w:val="1"/>
      <w:numFmt w:val="decimal"/>
      <w:lvlText w:val="%4."/>
      <w:lvlJc w:val="left"/>
      <w:pPr>
        <w:ind w:left="3447" w:hanging="360"/>
      </w:pPr>
    </w:lvl>
    <w:lvl w:ilvl="4" w:tplc="300A0019" w:tentative="1">
      <w:start w:val="1"/>
      <w:numFmt w:val="lowerLetter"/>
      <w:lvlText w:val="%5."/>
      <w:lvlJc w:val="left"/>
      <w:pPr>
        <w:ind w:left="4167" w:hanging="360"/>
      </w:pPr>
    </w:lvl>
    <w:lvl w:ilvl="5" w:tplc="300A001B" w:tentative="1">
      <w:start w:val="1"/>
      <w:numFmt w:val="lowerRoman"/>
      <w:lvlText w:val="%6."/>
      <w:lvlJc w:val="right"/>
      <w:pPr>
        <w:ind w:left="4887" w:hanging="180"/>
      </w:pPr>
    </w:lvl>
    <w:lvl w:ilvl="6" w:tplc="300A000F" w:tentative="1">
      <w:start w:val="1"/>
      <w:numFmt w:val="decimal"/>
      <w:lvlText w:val="%7."/>
      <w:lvlJc w:val="left"/>
      <w:pPr>
        <w:ind w:left="5607" w:hanging="360"/>
      </w:pPr>
    </w:lvl>
    <w:lvl w:ilvl="7" w:tplc="300A0019" w:tentative="1">
      <w:start w:val="1"/>
      <w:numFmt w:val="lowerLetter"/>
      <w:lvlText w:val="%8."/>
      <w:lvlJc w:val="left"/>
      <w:pPr>
        <w:ind w:left="6327" w:hanging="360"/>
      </w:pPr>
    </w:lvl>
    <w:lvl w:ilvl="8" w:tplc="300A001B" w:tentative="1">
      <w:start w:val="1"/>
      <w:numFmt w:val="lowerRoman"/>
      <w:lvlText w:val="%9."/>
      <w:lvlJc w:val="right"/>
      <w:pPr>
        <w:ind w:left="7047" w:hanging="180"/>
      </w:pPr>
    </w:lvl>
  </w:abstractNum>
  <w:abstractNum w:abstractNumId="33" w15:restartNumberingAfterBreak="0">
    <w:nsid w:val="6ACA093C"/>
    <w:multiLevelType w:val="multilevel"/>
    <w:tmpl w:val="C97C25D2"/>
    <w:lvl w:ilvl="0">
      <w:start w:val="4"/>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A217E9"/>
    <w:multiLevelType w:val="hybridMultilevel"/>
    <w:tmpl w:val="DA7EAD92"/>
    <w:lvl w:ilvl="0" w:tplc="CA30388A">
      <w:numFmt w:val="bullet"/>
      <w:lvlText w:val=""/>
      <w:lvlJc w:val="left"/>
      <w:pPr>
        <w:ind w:left="1243" w:hanging="360"/>
      </w:pPr>
      <w:rPr>
        <w:rFonts w:ascii="Symbol" w:eastAsia="Symbol" w:hAnsi="Symbol" w:cs="Symbol" w:hint="default"/>
        <w:b w:val="0"/>
        <w:bCs w:val="0"/>
        <w:i w:val="0"/>
        <w:iCs w:val="0"/>
        <w:spacing w:val="0"/>
        <w:w w:val="99"/>
        <w:sz w:val="20"/>
        <w:szCs w:val="20"/>
        <w:lang w:val="es-ES" w:eastAsia="en-US" w:bidi="ar-SA"/>
      </w:rPr>
    </w:lvl>
    <w:lvl w:ilvl="1" w:tplc="300A0003" w:tentative="1">
      <w:start w:val="1"/>
      <w:numFmt w:val="bullet"/>
      <w:lvlText w:val="o"/>
      <w:lvlJc w:val="left"/>
      <w:pPr>
        <w:ind w:left="1701" w:hanging="360"/>
      </w:pPr>
      <w:rPr>
        <w:rFonts w:ascii="Courier New" w:hAnsi="Courier New" w:cs="Courier New" w:hint="default"/>
      </w:rPr>
    </w:lvl>
    <w:lvl w:ilvl="2" w:tplc="300A0005" w:tentative="1">
      <w:start w:val="1"/>
      <w:numFmt w:val="bullet"/>
      <w:lvlText w:val=""/>
      <w:lvlJc w:val="left"/>
      <w:pPr>
        <w:ind w:left="2421" w:hanging="360"/>
      </w:pPr>
      <w:rPr>
        <w:rFonts w:ascii="Wingdings" w:hAnsi="Wingdings" w:hint="default"/>
      </w:rPr>
    </w:lvl>
    <w:lvl w:ilvl="3" w:tplc="300A0001" w:tentative="1">
      <w:start w:val="1"/>
      <w:numFmt w:val="bullet"/>
      <w:lvlText w:val=""/>
      <w:lvlJc w:val="left"/>
      <w:pPr>
        <w:ind w:left="3141" w:hanging="360"/>
      </w:pPr>
      <w:rPr>
        <w:rFonts w:ascii="Symbol" w:hAnsi="Symbol" w:hint="default"/>
      </w:rPr>
    </w:lvl>
    <w:lvl w:ilvl="4" w:tplc="300A0003" w:tentative="1">
      <w:start w:val="1"/>
      <w:numFmt w:val="bullet"/>
      <w:lvlText w:val="o"/>
      <w:lvlJc w:val="left"/>
      <w:pPr>
        <w:ind w:left="3861" w:hanging="360"/>
      </w:pPr>
      <w:rPr>
        <w:rFonts w:ascii="Courier New" w:hAnsi="Courier New" w:cs="Courier New" w:hint="default"/>
      </w:rPr>
    </w:lvl>
    <w:lvl w:ilvl="5" w:tplc="300A0005" w:tentative="1">
      <w:start w:val="1"/>
      <w:numFmt w:val="bullet"/>
      <w:lvlText w:val=""/>
      <w:lvlJc w:val="left"/>
      <w:pPr>
        <w:ind w:left="4581" w:hanging="360"/>
      </w:pPr>
      <w:rPr>
        <w:rFonts w:ascii="Wingdings" w:hAnsi="Wingdings" w:hint="default"/>
      </w:rPr>
    </w:lvl>
    <w:lvl w:ilvl="6" w:tplc="300A0001" w:tentative="1">
      <w:start w:val="1"/>
      <w:numFmt w:val="bullet"/>
      <w:lvlText w:val=""/>
      <w:lvlJc w:val="left"/>
      <w:pPr>
        <w:ind w:left="5301" w:hanging="360"/>
      </w:pPr>
      <w:rPr>
        <w:rFonts w:ascii="Symbol" w:hAnsi="Symbol" w:hint="default"/>
      </w:rPr>
    </w:lvl>
    <w:lvl w:ilvl="7" w:tplc="300A0003" w:tentative="1">
      <w:start w:val="1"/>
      <w:numFmt w:val="bullet"/>
      <w:lvlText w:val="o"/>
      <w:lvlJc w:val="left"/>
      <w:pPr>
        <w:ind w:left="6021" w:hanging="360"/>
      </w:pPr>
      <w:rPr>
        <w:rFonts w:ascii="Courier New" w:hAnsi="Courier New" w:cs="Courier New" w:hint="default"/>
      </w:rPr>
    </w:lvl>
    <w:lvl w:ilvl="8" w:tplc="300A0005" w:tentative="1">
      <w:start w:val="1"/>
      <w:numFmt w:val="bullet"/>
      <w:lvlText w:val=""/>
      <w:lvlJc w:val="left"/>
      <w:pPr>
        <w:ind w:left="6741" w:hanging="360"/>
      </w:pPr>
      <w:rPr>
        <w:rFonts w:ascii="Wingdings" w:hAnsi="Wingdings" w:hint="default"/>
      </w:rPr>
    </w:lvl>
  </w:abstractNum>
  <w:abstractNum w:abstractNumId="35" w15:restartNumberingAfterBreak="0">
    <w:nsid w:val="74A93F96"/>
    <w:multiLevelType w:val="multilevel"/>
    <w:tmpl w:val="B004F84C"/>
    <w:lvl w:ilvl="0">
      <w:start w:val="1"/>
      <w:numFmt w:val="decimal"/>
      <w:lvlText w:val="%1."/>
      <w:lvlJc w:val="left"/>
      <w:pPr>
        <w:ind w:left="509" w:hanging="248"/>
      </w:pPr>
      <w:rPr>
        <w:rFonts w:hint="default"/>
        <w:spacing w:val="-1"/>
        <w:w w:val="81"/>
        <w:sz w:val="26"/>
        <w:szCs w:val="26"/>
        <w:lang w:val="es-ES" w:eastAsia="en-US" w:bidi="ar-SA"/>
      </w:rPr>
    </w:lvl>
    <w:lvl w:ilvl="1">
      <w:start w:val="1"/>
      <w:numFmt w:val="decimal"/>
      <w:lvlText w:val="%1.%2."/>
      <w:lvlJc w:val="left"/>
      <w:pPr>
        <w:ind w:left="262" w:hanging="447"/>
      </w:pPr>
      <w:rPr>
        <w:rFonts w:ascii="Arial" w:eastAsia="Trebuchet MS" w:hAnsi="Arial" w:cs="Arial" w:hint="default"/>
        <w:b/>
        <w:bCs/>
        <w:i w:val="0"/>
        <w:iCs w:val="0"/>
        <w:spacing w:val="0"/>
        <w:w w:val="87"/>
        <w:sz w:val="20"/>
        <w:szCs w:val="20"/>
        <w:lang w:val="es-ES" w:eastAsia="en-US" w:bidi="ar-SA"/>
      </w:rPr>
    </w:lvl>
    <w:lvl w:ilvl="2">
      <w:start w:val="1"/>
      <w:numFmt w:val="upperRoman"/>
      <w:lvlText w:val="%3."/>
      <w:lvlJc w:val="right"/>
      <w:pPr>
        <w:ind w:left="982" w:hanging="360"/>
      </w:pPr>
    </w:lvl>
    <w:lvl w:ilvl="3">
      <w:numFmt w:val="bullet"/>
      <w:lvlText w:val="o"/>
      <w:lvlJc w:val="left"/>
      <w:pPr>
        <w:ind w:left="1702" w:hanging="360"/>
      </w:pPr>
      <w:rPr>
        <w:rFonts w:ascii="Courier New" w:eastAsia="Courier New" w:hAnsi="Courier New" w:cs="Courier New" w:hint="default"/>
        <w:b w:val="0"/>
        <w:bCs w:val="0"/>
        <w:i w:val="0"/>
        <w:iCs w:val="0"/>
        <w:spacing w:val="0"/>
        <w:w w:val="99"/>
        <w:sz w:val="20"/>
        <w:szCs w:val="20"/>
        <w:lang w:val="es-ES" w:eastAsia="en-US" w:bidi="ar-SA"/>
      </w:rPr>
    </w:lvl>
    <w:lvl w:ilvl="4">
      <w:numFmt w:val="bullet"/>
      <w:lvlText w:val="•"/>
      <w:lvlJc w:val="left"/>
      <w:pPr>
        <w:ind w:left="1700" w:hanging="360"/>
      </w:pPr>
      <w:rPr>
        <w:rFonts w:hint="default"/>
        <w:lang w:val="es-ES" w:eastAsia="en-US" w:bidi="ar-SA"/>
      </w:rPr>
    </w:lvl>
    <w:lvl w:ilvl="5">
      <w:numFmt w:val="bullet"/>
      <w:lvlText w:val="•"/>
      <w:lvlJc w:val="left"/>
      <w:pPr>
        <w:ind w:left="2976" w:hanging="360"/>
      </w:pPr>
      <w:rPr>
        <w:rFonts w:hint="default"/>
        <w:lang w:val="es-ES" w:eastAsia="en-US" w:bidi="ar-SA"/>
      </w:rPr>
    </w:lvl>
    <w:lvl w:ilvl="6">
      <w:numFmt w:val="bullet"/>
      <w:lvlText w:val="•"/>
      <w:lvlJc w:val="left"/>
      <w:pPr>
        <w:ind w:left="4253" w:hanging="360"/>
      </w:pPr>
      <w:rPr>
        <w:rFonts w:hint="default"/>
        <w:lang w:val="es-ES" w:eastAsia="en-US" w:bidi="ar-SA"/>
      </w:rPr>
    </w:lvl>
    <w:lvl w:ilvl="7">
      <w:numFmt w:val="bullet"/>
      <w:lvlText w:val="•"/>
      <w:lvlJc w:val="left"/>
      <w:pPr>
        <w:ind w:left="5530" w:hanging="360"/>
      </w:pPr>
      <w:rPr>
        <w:rFonts w:hint="default"/>
        <w:lang w:val="es-ES" w:eastAsia="en-US" w:bidi="ar-SA"/>
      </w:rPr>
    </w:lvl>
    <w:lvl w:ilvl="8">
      <w:numFmt w:val="bullet"/>
      <w:lvlText w:val="•"/>
      <w:lvlJc w:val="left"/>
      <w:pPr>
        <w:ind w:left="6806" w:hanging="360"/>
      </w:pPr>
      <w:rPr>
        <w:rFonts w:hint="default"/>
        <w:lang w:val="es-ES" w:eastAsia="en-US" w:bidi="ar-SA"/>
      </w:rPr>
    </w:lvl>
  </w:abstractNum>
  <w:abstractNum w:abstractNumId="36" w15:restartNumberingAfterBreak="0">
    <w:nsid w:val="7B6068B4"/>
    <w:multiLevelType w:val="multilevel"/>
    <w:tmpl w:val="00A2C08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C0767C9"/>
    <w:multiLevelType w:val="hybridMultilevel"/>
    <w:tmpl w:val="8CD69428"/>
    <w:lvl w:ilvl="0" w:tplc="334414F2">
      <w:numFmt w:val="bullet"/>
      <w:lvlText w:val=""/>
      <w:lvlJc w:val="left"/>
      <w:pPr>
        <w:ind w:left="982" w:hanging="360"/>
      </w:pPr>
      <w:rPr>
        <w:rFonts w:ascii="Symbol" w:eastAsia="Symbol" w:hAnsi="Symbol" w:cs="Symbol" w:hint="default"/>
        <w:b w:val="0"/>
        <w:bCs w:val="0"/>
        <w:i w:val="0"/>
        <w:iCs w:val="0"/>
        <w:spacing w:val="0"/>
        <w:w w:val="99"/>
        <w:sz w:val="20"/>
        <w:szCs w:val="20"/>
        <w:lang w:val="es-ES" w:eastAsia="en-US" w:bidi="ar-SA"/>
      </w:rPr>
    </w:lvl>
    <w:lvl w:ilvl="1" w:tplc="DBBC6AD0">
      <w:numFmt w:val="bullet"/>
      <w:lvlText w:val="•"/>
      <w:lvlJc w:val="left"/>
      <w:pPr>
        <w:ind w:left="1818" w:hanging="360"/>
      </w:pPr>
      <w:rPr>
        <w:rFonts w:hint="default"/>
        <w:lang w:val="es-ES" w:eastAsia="en-US" w:bidi="ar-SA"/>
      </w:rPr>
    </w:lvl>
    <w:lvl w:ilvl="2" w:tplc="3F5E5440">
      <w:numFmt w:val="bullet"/>
      <w:lvlText w:val="•"/>
      <w:lvlJc w:val="left"/>
      <w:pPr>
        <w:ind w:left="2656" w:hanging="360"/>
      </w:pPr>
      <w:rPr>
        <w:rFonts w:hint="default"/>
        <w:lang w:val="es-ES" w:eastAsia="en-US" w:bidi="ar-SA"/>
      </w:rPr>
    </w:lvl>
    <w:lvl w:ilvl="3" w:tplc="7B58868E">
      <w:numFmt w:val="bullet"/>
      <w:lvlText w:val="•"/>
      <w:lvlJc w:val="left"/>
      <w:pPr>
        <w:ind w:left="3494" w:hanging="360"/>
      </w:pPr>
      <w:rPr>
        <w:rFonts w:hint="default"/>
        <w:lang w:val="es-ES" w:eastAsia="en-US" w:bidi="ar-SA"/>
      </w:rPr>
    </w:lvl>
    <w:lvl w:ilvl="4" w:tplc="7EEEE47C">
      <w:numFmt w:val="bullet"/>
      <w:lvlText w:val="•"/>
      <w:lvlJc w:val="left"/>
      <w:pPr>
        <w:ind w:left="4332" w:hanging="360"/>
      </w:pPr>
      <w:rPr>
        <w:rFonts w:hint="default"/>
        <w:lang w:val="es-ES" w:eastAsia="en-US" w:bidi="ar-SA"/>
      </w:rPr>
    </w:lvl>
    <w:lvl w:ilvl="5" w:tplc="249CF73A">
      <w:numFmt w:val="bullet"/>
      <w:lvlText w:val="•"/>
      <w:lvlJc w:val="left"/>
      <w:pPr>
        <w:ind w:left="5170" w:hanging="360"/>
      </w:pPr>
      <w:rPr>
        <w:rFonts w:hint="default"/>
        <w:lang w:val="es-ES" w:eastAsia="en-US" w:bidi="ar-SA"/>
      </w:rPr>
    </w:lvl>
    <w:lvl w:ilvl="6" w:tplc="129426F2">
      <w:numFmt w:val="bullet"/>
      <w:lvlText w:val="•"/>
      <w:lvlJc w:val="left"/>
      <w:pPr>
        <w:ind w:left="6008" w:hanging="360"/>
      </w:pPr>
      <w:rPr>
        <w:rFonts w:hint="default"/>
        <w:lang w:val="es-ES" w:eastAsia="en-US" w:bidi="ar-SA"/>
      </w:rPr>
    </w:lvl>
    <w:lvl w:ilvl="7" w:tplc="74C291C0">
      <w:numFmt w:val="bullet"/>
      <w:lvlText w:val="•"/>
      <w:lvlJc w:val="left"/>
      <w:pPr>
        <w:ind w:left="6846" w:hanging="360"/>
      </w:pPr>
      <w:rPr>
        <w:rFonts w:hint="default"/>
        <w:lang w:val="es-ES" w:eastAsia="en-US" w:bidi="ar-SA"/>
      </w:rPr>
    </w:lvl>
    <w:lvl w:ilvl="8" w:tplc="D8E8BECA">
      <w:numFmt w:val="bullet"/>
      <w:lvlText w:val="•"/>
      <w:lvlJc w:val="left"/>
      <w:pPr>
        <w:ind w:left="7684" w:hanging="360"/>
      </w:pPr>
      <w:rPr>
        <w:rFonts w:hint="default"/>
        <w:lang w:val="es-ES" w:eastAsia="en-US" w:bidi="ar-SA"/>
      </w:rPr>
    </w:lvl>
  </w:abstractNum>
  <w:abstractNum w:abstractNumId="38" w15:restartNumberingAfterBreak="0">
    <w:nsid w:val="7C714C81"/>
    <w:multiLevelType w:val="hybridMultilevel"/>
    <w:tmpl w:val="653E8C84"/>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9" w15:restartNumberingAfterBreak="0">
    <w:nsid w:val="7DEC158E"/>
    <w:multiLevelType w:val="multilevel"/>
    <w:tmpl w:val="65689E82"/>
    <w:lvl w:ilvl="0">
      <w:start w:val="1"/>
      <w:numFmt w:val="decimal"/>
      <w:lvlText w:val="%1."/>
      <w:lvlJc w:val="left"/>
      <w:pPr>
        <w:ind w:left="509" w:hanging="248"/>
      </w:pPr>
      <w:rPr>
        <w:rFonts w:hint="default"/>
        <w:spacing w:val="-1"/>
        <w:w w:val="81"/>
        <w:sz w:val="26"/>
        <w:szCs w:val="26"/>
        <w:lang w:val="es-ES" w:eastAsia="en-US" w:bidi="ar-SA"/>
      </w:rPr>
    </w:lvl>
    <w:lvl w:ilvl="1">
      <w:start w:val="1"/>
      <w:numFmt w:val="decimal"/>
      <w:lvlText w:val="%1.%2."/>
      <w:lvlJc w:val="left"/>
      <w:pPr>
        <w:ind w:left="262" w:hanging="447"/>
      </w:pPr>
      <w:rPr>
        <w:rFonts w:ascii="Arial" w:eastAsia="Trebuchet MS" w:hAnsi="Arial" w:cs="Arial" w:hint="default"/>
        <w:b/>
        <w:bCs/>
        <w:i w:val="0"/>
        <w:iCs w:val="0"/>
        <w:spacing w:val="0"/>
        <w:w w:val="87"/>
        <w:sz w:val="20"/>
        <w:szCs w:val="20"/>
        <w:lang w:val="es-ES" w:eastAsia="en-US" w:bidi="ar-SA"/>
      </w:rPr>
    </w:lvl>
    <w:lvl w:ilvl="2">
      <w:start w:val="1"/>
      <w:numFmt w:val="decimal"/>
      <w:lvlText w:val="%3."/>
      <w:lvlJc w:val="left"/>
      <w:pPr>
        <w:ind w:left="982" w:hanging="360"/>
      </w:pPr>
      <w:rPr>
        <w:rFonts w:ascii="Trebuchet MS" w:eastAsia="Trebuchet MS" w:hAnsi="Trebuchet MS" w:cs="Trebuchet MS" w:hint="default"/>
        <w:b w:val="0"/>
        <w:bCs w:val="0"/>
        <w:i w:val="0"/>
        <w:iCs w:val="0"/>
        <w:spacing w:val="-1"/>
        <w:w w:val="92"/>
        <w:sz w:val="22"/>
        <w:szCs w:val="22"/>
        <w:lang w:val="es-ES" w:eastAsia="en-US" w:bidi="ar-SA"/>
      </w:rPr>
    </w:lvl>
    <w:lvl w:ilvl="3">
      <w:numFmt w:val="bullet"/>
      <w:lvlText w:val="o"/>
      <w:lvlJc w:val="left"/>
      <w:pPr>
        <w:ind w:left="1702" w:hanging="360"/>
      </w:pPr>
      <w:rPr>
        <w:rFonts w:ascii="Courier New" w:eastAsia="Courier New" w:hAnsi="Courier New" w:cs="Courier New" w:hint="default"/>
        <w:b w:val="0"/>
        <w:bCs w:val="0"/>
        <w:i w:val="0"/>
        <w:iCs w:val="0"/>
        <w:spacing w:val="0"/>
        <w:w w:val="99"/>
        <w:sz w:val="20"/>
        <w:szCs w:val="20"/>
        <w:lang w:val="es-ES" w:eastAsia="en-US" w:bidi="ar-SA"/>
      </w:rPr>
    </w:lvl>
    <w:lvl w:ilvl="4">
      <w:numFmt w:val="bullet"/>
      <w:lvlText w:val="•"/>
      <w:lvlJc w:val="left"/>
      <w:pPr>
        <w:ind w:left="1700" w:hanging="360"/>
      </w:pPr>
      <w:rPr>
        <w:rFonts w:hint="default"/>
        <w:lang w:val="es-ES" w:eastAsia="en-US" w:bidi="ar-SA"/>
      </w:rPr>
    </w:lvl>
    <w:lvl w:ilvl="5">
      <w:numFmt w:val="bullet"/>
      <w:lvlText w:val="•"/>
      <w:lvlJc w:val="left"/>
      <w:pPr>
        <w:ind w:left="2976" w:hanging="360"/>
      </w:pPr>
      <w:rPr>
        <w:rFonts w:hint="default"/>
        <w:lang w:val="es-ES" w:eastAsia="en-US" w:bidi="ar-SA"/>
      </w:rPr>
    </w:lvl>
    <w:lvl w:ilvl="6">
      <w:numFmt w:val="bullet"/>
      <w:lvlText w:val="•"/>
      <w:lvlJc w:val="left"/>
      <w:pPr>
        <w:ind w:left="4253" w:hanging="360"/>
      </w:pPr>
      <w:rPr>
        <w:rFonts w:hint="default"/>
        <w:lang w:val="es-ES" w:eastAsia="en-US" w:bidi="ar-SA"/>
      </w:rPr>
    </w:lvl>
    <w:lvl w:ilvl="7">
      <w:numFmt w:val="bullet"/>
      <w:lvlText w:val="•"/>
      <w:lvlJc w:val="left"/>
      <w:pPr>
        <w:ind w:left="5530" w:hanging="360"/>
      </w:pPr>
      <w:rPr>
        <w:rFonts w:hint="default"/>
        <w:lang w:val="es-ES" w:eastAsia="en-US" w:bidi="ar-SA"/>
      </w:rPr>
    </w:lvl>
    <w:lvl w:ilvl="8">
      <w:numFmt w:val="bullet"/>
      <w:lvlText w:val="•"/>
      <w:lvlJc w:val="left"/>
      <w:pPr>
        <w:ind w:left="6806" w:hanging="360"/>
      </w:pPr>
      <w:rPr>
        <w:rFonts w:hint="default"/>
        <w:lang w:val="es-ES" w:eastAsia="en-US" w:bidi="ar-SA"/>
      </w:rPr>
    </w:lvl>
  </w:abstractNum>
  <w:num w:numId="1" w16cid:durableId="1461148918">
    <w:abstractNumId w:val="9"/>
  </w:num>
  <w:num w:numId="2" w16cid:durableId="1124618271">
    <w:abstractNumId w:val="3"/>
  </w:num>
  <w:num w:numId="3" w16cid:durableId="630289961">
    <w:abstractNumId w:val="8"/>
  </w:num>
  <w:num w:numId="4" w16cid:durableId="1699044242">
    <w:abstractNumId w:val="21"/>
  </w:num>
  <w:num w:numId="5" w16cid:durableId="1864395977">
    <w:abstractNumId w:val="26"/>
  </w:num>
  <w:num w:numId="6" w16cid:durableId="1103187352">
    <w:abstractNumId w:val="24"/>
  </w:num>
  <w:num w:numId="7" w16cid:durableId="1847010500">
    <w:abstractNumId w:val="12"/>
  </w:num>
  <w:num w:numId="8" w16cid:durableId="355887365">
    <w:abstractNumId w:val="38"/>
  </w:num>
  <w:num w:numId="9" w16cid:durableId="1551458031">
    <w:abstractNumId w:val="11"/>
  </w:num>
  <w:num w:numId="10" w16cid:durableId="646665104">
    <w:abstractNumId w:val="37"/>
  </w:num>
  <w:num w:numId="11" w16cid:durableId="99418812">
    <w:abstractNumId w:val="4"/>
  </w:num>
  <w:num w:numId="12" w16cid:durableId="604970222">
    <w:abstractNumId w:val="1"/>
  </w:num>
  <w:num w:numId="13" w16cid:durableId="1314682571">
    <w:abstractNumId w:val="25"/>
  </w:num>
  <w:num w:numId="14" w16cid:durableId="1639148919">
    <w:abstractNumId w:val="31"/>
  </w:num>
  <w:num w:numId="15" w16cid:durableId="894316831">
    <w:abstractNumId w:val="20"/>
  </w:num>
  <w:num w:numId="16" w16cid:durableId="601452021">
    <w:abstractNumId w:val="6"/>
  </w:num>
  <w:num w:numId="17" w16cid:durableId="1908489715">
    <w:abstractNumId w:val="30"/>
  </w:num>
  <w:num w:numId="18" w16cid:durableId="1792630476">
    <w:abstractNumId w:val="35"/>
  </w:num>
  <w:num w:numId="19" w16cid:durableId="1927499756">
    <w:abstractNumId w:val="15"/>
  </w:num>
  <w:num w:numId="20" w16cid:durableId="19864969">
    <w:abstractNumId w:val="19"/>
  </w:num>
  <w:num w:numId="21" w16cid:durableId="659577723">
    <w:abstractNumId w:val="7"/>
  </w:num>
  <w:num w:numId="22" w16cid:durableId="2033333081">
    <w:abstractNumId w:val="39"/>
  </w:num>
  <w:num w:numId="23" w16cid:durableId="676932565">
    <w:abstractNumId w:val="28"/>
  </w:num>
  <w:num w:numId="24" w16cid:durableId="1573587342">
    <w:abstractNumId w:val="14"/>
  </w:num>
  <w:num w:numId="25" w16cid:durableId="1857422545">
    <w:abstractNumId w:val="32"/>
  </w:num>
  <w:num w:numId="26" w16cid:durableId="268777219">
    <w:abstractNumId w:val="13"/>
  </w:num>
  <w:num w:numId="27" w16cid:durableId="289165450">
    <w:abstractNumId w:val="23"/>
  </w:num>
  <w:num w:numId="28" w16cid:durableId="84308407">
    <w:abstractNumId w:val="33"/>
  </w:num>
  <w:num w:numId="29" w16cid:durableId="1948539983">
    <w:abstractNumId w:val="10"/>
  </w:num>
  <w:num w:numId="30" w16cid:durableId="702245923">
    <w:abstractNumId w:val="27"/>
  </w:num>
  <w:num w:numId="31" w16cid:durableId="425879757">
    <w:abstractNumId w:val="34"/>
  </w:num>
  <w:num w:numId="32" w16cid:durableId="1350719316">
    <w:abstractNumId w:val="0"/>
  </w:num>
  <w:num w:numId="33" w16cid:durableId="1741057653">
    <w:abstractNumId w:val="18"/>
  </w:num>
  <w:num w:numId="34" w16cid:durableId="205677330">
    <w:abstractNumId w:val="16"/>
  </w:num>
  <w:num w:numId="35" w16cid:durableId="1944453985">
    <w:abstractNumId w:val="22"/>
  </w:num>
  <w:num w:numId="36" w16cid:durableId="848711438">
    <w:abstractNumId w:val="2"/>
  </w:num>
  <w:num w:numId="37" w16cid:durableId="1148475023">
    <w:abstractNumId w:val="29"/>
  </w:num>
  <w:num w:numId="38" w16cid:durableId="1710062572">
    <w:abstractNumId w:val="17"/>
  </w:num>
  <w:num w:numId="39" w16cid:durableId="1660694191">
    <w:abstractNumId w:val="5"/>
  </w:num>
  <w:num w:numId="40" w16cid:durableId="1547638907">
    <w:abstractNumId w:val="3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WILLIAN PAUL AVILES QUINONEZ">
    <w15:presenceInfo w15:providerId="AD" w15:userId="S::wpavilesq@ube.edu.ec::04fb45a1-6c7a-432d-b014-0f60a0fc7fb6"/>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C2C"/>
    <w:rsid w:val="000147DE"/>
    <w:rsid w:val="00027AEB"/>
    <w:rsid w:val="00027F1F"/>
    <w:rsid w:val="000508B6"/>
    <w:rsid w:val="0005447F"/>
    <w:rsid w:val="0008424F"/>
    <w:rsid w:val="00087063"/>
    <w:rsid w:val="000A5FB3"/>
    <w:rsid w:val="000B59A7"/>
    <w:rsid w:val="000B62A2"/>
    <w:rsid w:val="000C57CD"/>
    <w:rsid w:val="000C6698"/>
    <w:rsid w:val="000D5DED"/>
    <w:rsid w:val="000F1B7D"/>
    <w:rsid w:val="00120DD2"/>
    <w:rsid w:val="0012266A"/>
    <w:rsid w:val="001250C4"/>
    <w:rsid w:val="001433FE"/>
    <w:rsid w:val="001454F0"/>
    <w:rsid w:val="00155283"/>
    <w:rsid w:val="00156C05"/>
    <w:rsid w:val="00164135"/>
    <w:rsid w:val="00180A0A"/>
    <w:rsid w:val="0019133B"/>
    <w:rsid w:val="00191E1E"/>
    <w:rsid w:val="00194CBD"/>
    <w:rsid w:val="001A24F5"/>
    <w:rsid w:val="001B0D81"/>
    <w:rsid w:val="001C2045"/>
    <w:rsid w:val="001C4959"/>
    <w:rsid w:val="001D47AB"/>
    <w:rsid w:val="001E612D"/>
    <w:rsid w:val="001F3FAA"/>
    <w:rsid w:val="00213C5F"/>
    <w:rsid w:val="002447F3"/>
    <w:rsid w:val="00265280"/>
    <w:rsid w:val="00273011"/>
    <w:rsid w:val="00283AF9"/>
    <w:rsid w:val="002843F9"/>
    <w:rsid w:val="00285600"/>
    <w:rsid w:val="0029344D"/>
    <w:rsid w:val="002B0426"/>
    <w:rsid w:val="002B428A"/>
    <w:rsid w:val="002C3EB2"/>
    <w:rsid w:val="002D2C31"/>
    <w:rsid w:val="002D5B61"/>
    <w:rsid w:val="002D75E9"/>
    <w:rsid w:val="002E0902"/>
    <w:rsid w:val="002F7272"/>
    <w:rsid w:val="00300B03"/>
    <w:rsid w:val="00311586"/>
    <w:rsid w:val="00313E34"/>
    <w:rsid w:val="003259C8"/>
    <w:rsid w:val="003363B3"/>
    <w:rsid w:val="00341552"/>
    <w:rsid w:val="00343B50"/>
    <w:rsid w:val="00345EA5"/>
    <w:rsid w:val="0035207A"/>
    <w:rsid w:val="00365608"/>
    <w:rsid w:val="00366307"/>
    <w:rsid w:val="00371129"/>
    <w:rsid w:val="0037206B"/>
    <w:rsid w:val="00373E80"/>
    <w:rsid w:val="00380763"/>
    <w:rsid w:val="00385F0E"/>
    <w:rsid w:val="003A0211"/>
    <w:rsid w:val="003A521D"/>
    <w:rsid w:val="003A6878"/>
    <w:rsid w:val="003C0F1E"/>
    <w:rsid w:val="003D235C"/>
    <w:rsid w:val="003D4D92"/>
    <w:rsid w:val="003F30E2"/>
    <w:rsid w:val="003F4608"/>
    <w:rsid w:val="00401F4F"/>
    <w:rsid w:val="004030BE"/>
    <w:rsid w:val="0041373F"/>
    <w:rsid w:val="00443FCE"/>
    <w:rsid w:val="00447D7E"/>
    <w:rsid w:val="004565B0"/>
    <w:rsid w:val="00465603"/>
    <w:rsid w:val="00473845"/>
    <w:rsid w:val="00476F18"/>
    <w:rsid w:val="00486897"/>
    <w:rsid w:val="004876AA"/>
    <w:rsid w:val="00490166"/>
    <w:rsid w:val="00496ACA"/>
    <w:rsid w:val="004C3436"/>
    <w:rsid w:val="004C7CDB"/>
    <w:rsid w:val="00540D9F"/>
    <w:rsid w:val="00547072"/>
    <w:rsid w:val="005562A5"/>
    <w:rsid w:val="00560C21"/>
    <w:rsid w:val="00561192"/>
    <w:rsid w:val="005709B7"/>
    <w:rsid w:val="00573C43"/>
    <w:rsid w:val="005849FD"/>
    <w:rsid w:val="005A658B"/>
    <w:rsid w:val="005B0773"/>
    <w:rsid w:val="005C35B9"/>
    <w:rsid w:val="005C39EF"/>
    <w:rsid w:val="005E4BED"/>
    <w:rsid w:val="005E68DA"/>
    <w:rsid w:val="00620539"/>
    <w:rsid w:val="0063376E"/>
    <w:rsid w:val="00635A09"/>
    <w:rsid w:val="00652E30"/>
    <w:rsid w:val="00653244"/>
    <w:rsid w:val="00670827"/>
    <w:rsid w:val="006714A1"/>
    <w:rsid w:val="0067201B"/>
    <w:rsid w:val="00675361"/>
    <w:rsid w:val="00681C89"/>
    <w:rsid w:val="0068518D"/>
    <w:rsid w:val="00695BE4"/>
    <w:rsid w:val="00695CE7"/>
    <w:rsid w:val="006964A2"/>
    <w:rsid w:val="006A084A"/>
    <w:rsid w:val="006B1F91"/>
    <w:rsid w:val="006D6D6D"/>
    <w:rsid w:val="006F0851"/>
    <w:rsid w:val="006F2C2C"/>
    <w:rsid w:val="007127D2"/>
    <w:rsid w:val="00714937"/>
    <w:rsid w:val="007362A5"/>
    <w:rsid w:val="007446CF"/>
    <w:rsid w:val="00763E1C"/>
    <w:rsid w:val="0076481F"/>
    <w:rsid w:val="00772130"/>
    <w:rsid w:val="00773B89"/>
    <w:rsid w:val="00775AEC"/>
    <w:rsid w:val="00775FD2"/>
    <w:rsid w:val="00776402"/>
    <w:rsid w:val="007A20FC"/>
    <w:rsid w:val="007C003B"/>
    <w:rsid w:val="007D3082"/>
    <w:rsid w:val="007E680D"/>
    <w:rsid w:val="00816E1A"/>
    <w:rsid w:val="00820302"/>
    <w:rsid w:val="00822D49"/>
    <w:rsid w:val="008249D1"/>
    <w:rsid w:val="0083448F"/>
    <w:rsid w:val="00847BDA"/>
    <w:rsid w:val="00861A85"/>
    <w:rsid w:val="00862A20"/>
    <w:rsid w:val="00867328"/>
    <w:rsid w:val="00870202"/>
    <w:rsid w:val="00882D04"/>
    <w:rsid w:val="00895EDA"/>
    <w:rsid w:val="008961A7"/>
    <w:rsid w:val="008A3790"/>
    <w:rsid w:val="008B36AF"/>
    <w:rsid w:val="008B7E51"/>
    <w:rsid w:val="008C07A1"/>
    <w:rsid w:val="008C22C7"/>
    <w:rsid w:val="008C7D85"/>
    <w:rsid w:val="008D2816"/>
    <w:rsid w:val="008D38DC"/>
    <w:rsid w:val="008F7F2F"/>
    <w:rsid w:val="0090046B"/>
    <w:rsid w:val="00907AB5"/>
    <w:rsid w:val="00911EF2"/>
    <w:rsid w:val="00920268"/>
    <w:rsid w:val="00920D17"/>
    <w:rsid w:val="00922B3B"/>
    <w:rsid w:val="009322EE"/>
    <w:rsid w:val="00944A71"/>
    <w:rsid w:val="00951521"/>
    <w:rsid w:val="00953A0E"/>
    <w:rsid w:val="00960494"/>
    <w:rsid w:val="00984406"/>
    <w:rsid w:val="009A20A4"/>
    <w:rsid w:val="009A75A6"/>
    <w:rsid w:val="009B099C"/>
    <w:rsid w:val="009B2375"/>
    <w:rsid w:val="009B4538"/>
    <w:rsid w:val="009C1327"/>
    <w:rsid w:val="009C3D42"/>
    <w:rsid w:val="009D382F"/>
    <w:rsid w:val="009E0CFB"/>
    <w:rsid w:val="00A1100C"/>
    <w:rsid w:val="00A175FA"/>
    <w:rsid w:val="00A31228"/>
    <w:rsid w:val="00A4326D"/>
    <w:rsid w:val="00A5798E"/>
    <w:rsid w:val="00A64683"/>
    <w:rsid w:val="00A7205B"/>
    <w:rsid w:val="00A81288"/>
    <w:rsid w:val="00A83177"/>
    <w:rsid w:val="00A97572"/>
    <w:rsid w:val="00AA06B5"/>
    <w:rsid w:val="00AA1753"/>
    <w:rsid w:val="00AB6D24"/>
    <w:rsid w:val="00AC10E8"/>
    <w:rsid w:val="00AD0D5F"/>
    <w:rsid w:val="00AD72DC"/>
    <w:rsid w:val="00AF15D2"/>
    <w:rsid w:val="00AF2910"/>
    <w:rsid w:val="00B04BDC"/>
    <w:rsid w:val="00B04FF4"/>
    <w:rsid w:val="00B12C56"/>
    <w:rsid w:val="00B13832"/>
    <w:rsid w:val="00B250A3"/>
    <w:rsid w:val="00B317ED"/>
    <w:rsid w:val="00B367A4"/>
    <w:rsid w:val="00B3736F"/>
    <w:rsid w:val="00B37543"/>
    <w:rsid w:val="00B47B2D"/>
    <w:rsid w:val="00B61FC9"/>
    <w:rsid w:val="00B633B2"/>
    <w:rsid w:val="00B77EDD"/>
    <w:rsid w:val="00B80D06"/>
    <w:rsid w:val="00B856B4"/>
    <w:rsid w:val="00B9247B"/>
    <w:rsid w:val="00B97F12"/>
    <w:rsid w:val="00BA17A9"/>
    <w:rsid w:val="00BA3859"/>
    <w:rsid w:val="00BB5C47"/>
    <w:rsid w:val="00BB6324"/>
    <w:rsid w:val="00BC4B12"/>
    <w:rsid w:val="00BE15D8"/>
    <w:rsid w:val="00BE2EDC"/>
    <w:rsid w:val="00C0073E"/>
    <w:rsid w:val="00C07864"/>
    <w:rsid w:val="00C163CE"/>
    <w:rsid w:val="00C42AE4"/>
    <w:rsid w:val="00C4355A"/>
    <w:rsid w:val="00C43FE1"/>
    <w:rsid w:val="00C519EA"/>
    <w:rsid w:val="00C51CE6"/>
    <w:rsid w:val="00C62CA3"/>
    <w:rsid w:val="00C83068"/>
    <w:rsid w:val="00C9189C"/>
    <w:rsid w:val="00C91C2E"/>
    <w:rsid w:val="00C95F6B"/>
    <w:rsid w:val="00CA071E"/>
    <w:rsid w:val="00CA1D3D"/>
    <w:rsid w:val="00CA69D8"/>
    <w:rsid w:val="00CB5868"/>
    <w:rsid w:val="00CC5617"/>
    <w:rsid w:val="00CD29F7"/>
    <w:rsid w:val="00CE0384"/>
    <w:rsid w:val="00CE0C70"/>
    <w:rsid w:val="00CF1D88"/>
    <w:rsid w:val="00D113CE"/>
    <w:rsid w:val="00D14879"/>
    <w:rsid w:val="00D40A2D"/>
    <w:rsid w:val="00D45039"/>
    <w:rsid w:val="00D4774F"/>
    <w:rsid w:val="00D53075"/>
    <w:rsid w:val="00D626AE"/>
    <w:rsid w:val="00D65644"/>
    <w:rsid w:val="00D677CC"/>
    <w:rsid w:val="00D704B7"/>
    <w:rsid w:val="00D80715"/>
    <w:rsid w:val="00DA5EB7"/>
    <w:rsid w:val="00DB4E8E"/>
    <w:rsid w:val="00DB7D2C"/>
    <w:rsid w:val="00DC75CA"/>
    <w:rsid w:val="00DD0380"/>
    <w:rsid w:val="00DD3E85"/>
    <w:rsid w:val="00DD531A"/>
    <w:rsid w:val="00DE5AB2"/>
    <w:rsid w:val="00DF1AF1"/>
    <w:rsid w:val="00E04E01"/>
    <w:rsid w:val="00E05787"/>
    <w:rsid w:val="00E101C9"/>
    <w:rsid w:val="00E23768"/>
    <w:rsid w:val="00E23DA1"/>
    <w:rsid w:val="00E37548"/>
    <w:rsid w:val="00E57710"/>
    <w:rsid w:val="00E62EFE"/>
    <w:rsid w:val="00E77A44"/>
    <w:rsid w:val="00E83AA7"/>
    <w:rsid w:val="00E94DF5"/>
    <w:rsid w:val="00EA0976"/>
    <w:rsid w:val="00EB2281"/>
    <w:rsid w:val="00EB5A53"/>
    <w:rsid w:val="00EC53F8"/>
    <w:rsid w:val="00ED4B05"/>
    <w:rsid w:val="00EE589C"/>
    <w:rsid w:val="00EE5992"/>
    <w:rsid w:val="00EE64C7"/>
    <w:rsid w:val="00EF512A"/>
    <w:rsid w:val="00EF704C"/>
    <w:rsid w:val="00F263CF"/>
    <w:rsid w:val="00F3318D"/>
    <w:rsid w:val="00F34D42"/>
    <w:rsid w:val="00F37961"/>
    <w:rsid w:val="00F42377"/>
    <w:rsid w:val="00F45E1B"/>
    <w:rsid w:val="00F55290"/>
    <w:rsid w:val="00F5602F"/>
    <w:rsid w:val="00F80C0B"/>
    <w:rsid w:val="00F96654"/>
    <w:rsid w:val="00FA2279"/>
    <w:rsid w:val="00FA7C67"/>
    <w:rsid w:val="00FC4332"/>
    <w:rsid w:val="00FE4FA0"/>
    <w:rsid w:val="00FF0128"/>
    <w:rsid w:val="00FF5867"/>
    <w:rsid w:val="018E5276"/>
    <w:rsid w:val="04390F96"/>
    <w:rsid w:val="08F0C10D"/>
    <w:rsid w:val="0A6B6BB4"/>
    <w:rsid w:val="0A919FBF"/>
    <w:rsid w:val="15691B3D"/>
    <w:rsid w:val="1AC1F58B"/>
    <w:rsid w:val="22260BAB"/>
    <w:rsid w:val="31E0BF95"/>
    <w:rsid w:val="32B30A16"/>
    <w:rsid w:val="3466BBC2"/>
    <w:rsid w:val="37B726C3"/>
    <w:rsid w:val="3F363136"/>
    <w:rsid w:val="3FB7E5DB"/>
    <w:rsid w:val="49EE3242"/>
    <w:rsid w:val="4D155CDE"/>
    <w:rsid w:val="4DBE23B2"/>
    <w:rsid w:val="5804B820"/>
    <w:rsid w:val="5B44F25E"/>
    <w:rsid w:val="5F7EDF2C"/>
    <w:rsid w:val="638AC01E"/>
    <w:rsid w:val="673FB69F"/>
    <w:rsid w:val="727FD107"/>
    <w:rsid w:val="755AA73F"/>
    <w:rsid w:val="7FB5EF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9C392"/>
  <w15:docId w15:val="{C23E6AAA-CD3D-4B53-9DE5-D104587CC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s-EC"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063"/>
    <w:pPr>
      <w:spacing w:line="360" w:lineRule="auto"/>
    </w:pPr>
    <w:rPr>
      <w:rFonts w:ascii="Times New Roman" w:hAnsi="Times New Roman"/>
      <w:sz w:val="24"/>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B97F12"/>
    <w:rPr>
      <w:color w:val="0000FF" w:themeColor="hyperlink"/>
      <w:u w:val="single"/>
    </w:rPr>
  </w:style>
  <w:style w:type="character" w:styleId="Mencinsinresolver">
    <w:name w:val="Unresolved Mention"/>
    <w:basedOn w:val="Fuentedeprrafopredeter"/>
    <w:uiPriority w:val="99"/>
    <w:semiHidden/>
    <w:unhideWhenUsed/>
    <w:rsid w:val="00B97F12"/>
    <w:rPr>
      <w:color w:val="605E5C"/>
      <w:shd w:val="clear" w:color="auto" w:fill="E1DFDD"/>
    </w:rPr>
  </w:style>
  <w:style w:type="paragraph" w:styleId="Encabezado">
    <w:name w:val="header"/>
    <w:basedOn w:val="Normal"/>
    <w:link w:val="EncabezadoCar"/>
    <w:uiPriority w:val="99"/>
    <w:unhideWhenUsed/>
    <w:rsid w:val="003A521D"/>
    <w:pPr>
      <w:tabs>
        <w:tab w:val="center" w:pos="4419"/>
        <w:tab w:val="right" w:pos="8838"/>
      </w:tabs>
    </w:pPr>
  </w:style>
  <w:style w:type="character" w:customStyle="1" w:styleId="EncabezadoCar">
    <w:name w:val="Encabezado Car"/>
    <w:basedOn w:val="Fuentedeprrafopredeter"/>
    <w:link w:val="Encabezado"/>
    <w:uiPriority w:val="99"/>
    <w:rsid w:val="003A521D"/>
  </w:style>
  <w:style w:type="paragraph" w:styleId="Piedepgina">
    <w:name w:val="footer"/>
    <w:basedOn w:val="Normal"/>
    <w:link w:val="PiedepginaCar"/>
    <w:uiPriority w:val="99"/>
    <w:unhideWhenUsed/>
    <w:rsid w:val="003A521D"/>
    <w:pPr>
      <w:tabs>
        <w:tab w:val="center" w:pos="4419"/>
        <w:tab w:val="right" w:pos="8838"/>
      </w:tabs>
    </w:pPr>
  </w:style>
  <w:style w:type="character" w:customStyle="1" w:styleId="PiedepginaCar">
    <w:name w:val="Pie de página Car"/>
    <w:basedOn w:val="Fuentedeprrafopredeter"/>
    <w:link w:val="Piedepgina"/>
    <w:uiPriority w:val="99"/>
    <w:rsid w:val="003A521D"/>
  </w:style>
  <w:style w:type="paragraph" w:styleId="Prrafodelista">
    <w:name w:val="List Paragraph"/>
    <w:basedOn w:val="Normal"/>
    <w:uiPriority w:val="1"/>
    <w:qFormat/>
    <w:rsid w:val="00573C43"/>
    <w:pPr>
      <w:spacing w:after="160" w:line="259" w:lineRule="auto"/>
      <w:ind w:left="720"/>
      <w:contextualSpacing/>
    </w:pPr>
    <w:rPr>
      <w:rFonts w:asciiTheme="minorHAnsi" w:eastAsiaTheme="minorHAnsi" w:hAnsiTheme="minorHAnsi" w:cstheme="minorBidi"/>
      <w:kern w:val="2"/>
      <w:lang w:val="es-CO" w:eastAsia="en-US"/>
      <w14:ligatures w14:val="standardContextual"/>
    </w:rPr>
  </w:style>
  <w:style w:type="paragraph" w:styleId="Bibliografa">
    <w:name w:val="Bibliography"/>
    <w:basedOn w:val="Normal"/>
    <w:next w:val="Normal"/>
    <w:uiPriority w:val="37"/>
    <w:unhideWhenUsed/>
    <w:rsid w:val="003D4D92"/>
    <w:rPr>
      <w:lang w:eastAsia="es-EC"/>
    </w:rPr>
  </w:style>
  <w:style w:type="table" w:styleId="Tablaconcuadrcula">
    <w:name w:val="Table Grid"/>
    <w:basedOn w:val="Tablanormal"/>
    <w:uiPriority w:val="39"/>
    <w:rsid w:val="003D4D9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3D4D92"/>
    <w:pPr>
      <w:widowControl w:val="0"/>
      <w:autoSpaceDE w:val="0"/>
      <w:autoSpaceDN w:val="0"/>
    </w:pPr>
    <w:rPr>
      <w:rFonts w:eastAsia="Times New Roman" w:cs="Times New Roman"/>
      <w:szCs w:val="24"/>
      <w:lang w:val="es-ES" w:eastAsia="en-US"/>
    </w:rPr>
  </w:style>
  <w:style w:type="character" w:customStyle="1" w:styleId="TextoindependienteCar">
    <w:name w:val="Texto independiente Car"/>
    <w:basedOn w:val="Fuentedeprrafopredeter"/>
    <w:link w:val="Textoindependiente"/>
    <w:uiPriority w:val="1"/>
    <w:rsid w:val="003D4D92"/>
    <w:rPr>
      <w:rFonts w:ascii="Times New Roman" w:eastAsia="Times New Roman" w:hAnsi="Times New Roman" w:cs="Times New Roman"/>
      <w:sz w:val="24"/>
      <w:szCs w:val="24"/>
      <w:lang w:val="es-ES" w:eastAsia="en-US"/>
    </w:rPr>
  </w:style>
  <w:style w:type="character" w:styleId="Hipervnculovisitado">
    <w:name w:val="FollowedHyperlink"/>
    <w:basedOn w:val="Fuentedeprrafopredeter"/>
    <w:uiPriority w:val="99"/>
    <w:semiHidden/>
    <w:unhideWhenUsed/>
    <w:rsid w:val="00C62CA3"/>
    <w:rPr>
      <w:color w:val="800080" w:themeColor="followedHyperlink"/>
      <w:u w:val="single"/>
    </w:rPr>
  </w:style>
  <w:style w:type="paragraph" w:styleId="NormalWeb">
    <w:name w:val="Normal (Web)"/>
    <w:basedOn w:val="Normal"/>
    <w:uiPriority w:val="99"/>
    <w:semiHidden/>
    <w:unhideWhenUsed/>
    <w:rsid w:val="005C39EF"/>
    <w:rPr>
      <w:rFonts w:cs="Times New Roman"/>
      <w:szCs w:val="24"/>
    </w:rPr>
  </w:style>
  <w:style w:type="table" w:customStyle="1" w:styleId="TableNormal0">
    <w:name w:val="Table Normal"/>
    <w:uiPriority w:val="2"/>
    <w:semiHidden/>
    <w:unhideWhenUsed/>
    <w:qFormat/>
    <w:rsid w:val="00B3736F"/>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36F"/>
    <w:pPr>
      <w:widowControl w:val="0"/>
      <w:autoSpaceDE w:val="0"/>
      <w:autoSpaceDN w:val="0"/>
      <w:ind w:left="107"/>
    </w:pPr>
    <w:rPr>
      <w:rFonts w:ascii="Trebuchet MS" w:eastAsia="Trebuchet MS" w:hAnsi="Trebuchet MS" w:cs="Trebuchet MS"/>
      <w:lang w:val="es-ES" w:eastAsia="en-US"/>
    </w:rPr>
  </w:style>
  <w:style w:type="paragraph" w:styleId="Sangradetextonormal">
    <w:name w:val="Body Text Indent"/>
    <w:basedOn w:val="Normal"/>
    <w:link w:val="SangradetextonormalCar"/>
    <w:uiPriority w:val="99"/>
    <w:unhideWhenUsed/>
    <w:rsid w:val="009A20A4"/>
    <w:pPr>
      <w:spacing w:after="120"/>
      <w:ind w:left="283"/>
    </w:pPr>
  </w:style>
  <w:style w:type="character" w:customStyle="1" w:styleId="SangradetextonormalCar">
    <w:name w:val="Sangría de texto normal Car"/>
    <w:basedOn w:val="Fuentedeprrafopredeter"/>
    <w:link w:val="Sangradetextonormal"/>
    <w:uiPriority w:val="99"/>
    <w:rsid w:val="009A20A4"/>
    <w:rPr>
      <w:rFonts w:ascii="Times New Roman" w:hAnsi="Times New Roman"/>
      <w:sz w:val="24"/>
    </w:rPr>
  </w:style>
  <w:style w:type="paragraph" w:styleId="HTMLconformatoprevio">
    <w:name w:val="HTML Preformatted"/>
    <w:basedOn w:val="Normal"/>
    <w:link w:val="HTMLconformatoprevioCar"/>
    <w:uiPriority w:val="99"/>
    <w:semiHidden/>
    <w:unhideWhenUsed/>
    <w:rsid w:val="00DF1AF1"/>
    <w:pPr>
      <w:spacing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DF1AF1"/>
    <w:rPr>
      <w:rFonts w:ascii="Consolas" w:hAnsi="Consolas"/>
      <w:sz w:val="20"/>
      <w:szCs w:val="20"/>
    </w:rPr>
  </w:style>
  <w:style w:type="character" w:customStyle="1" w:styleId="ng-star-inserted">
    <w:name w:val="ng-star-inserted"/>
    <w:basedOn w:val="Fuentedeprrafopredeter"/>
    <w:rsid w:val="0076481F"/>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Times New Roman" w:hAnsi="Times New Roman"/>
      <w:sz w:val="20"/>
      <w:szCs w:val="20"/>
    </w:rPr>
  </w:style>
  <w:style w:type="character" w:styleId="Refdecomentario">
    <w:name w:val="annotation reference"/>
    <w:basedOn w:val="Fuentedeprrafopredeter"/>
    <w:uiPriority w:val="99"/>
    <w:semiHidden/>
    <w:unhideWhenUsed/>
    <w:rPr>
      <w:sz w:val="16"/>
      <w:szCs w:val="16"/>
    </w:rPr>
  </w:style>
  <w:style w:type="character" w:customStyle="1" w:styleId="apple-converted-space">
    <w:name w:val="apple-converted-space"/>
    <w:basedOn w:val="Fuentedeprrafopredeter"/>
    <w:rsid w:val="000C57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vcalapuchav@ube.edu.ec" TargetMode="External"/><Relationship Id="rId18" Type="http://schemas.openxmlformats.org/officeDocument/2006/relationships/hyperlink" Target="mailto:wpavilesq@ube.edu.ec" TargetMode="External"/><Relationship Id="rId26" Type="http://schemas.openxmlformats.org/officeDocument/2006/relationships/hyperlink" Target="https://doi.org/10.21503/cyd.v27i4.2737" TargetMode="External"/><Relationship Id="rId39" Type="http://schemas.microsoft.com/office/2011/relationships/people" Target="people.xml"/><Relationship Id="rId21" Type="http://schemas.microsoft.com/office/2011/relationships/commentsExtended" Target="commentsExtended.xml"/><Relationship Id="rId34" Type="http://schemas.openxmlformats.org/officeDocument/2006/relationships/hyperlink" Target="https://repositorio.uasb.edu.ec/items/26f923ae-326b-425f-bfb8-980b16594568"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dgonzalesc@ube.edu.ec" TargetMode="External"/><Relationship Id="rId20" Type="http://schemas.openxmlformats.org/officeDocument/2006/relationships/comments" Target="comments.xml"/><Relationship Id="rId29" Type="http://schemas.openxmlformats.org/officeDocument/2006/relationships/hyperlink" Target="https://www.hacienda.gob.es/rsc/oirescon/informe-anual-supervision-2025/ias2025-modulo10.pdf"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pchiliquingac@ube.edu.ec" TargetMode="External"/><Relationship Id="rId24" Type="http://schemas.openxmlformats.org/officeDocument/2006/relationships/image" Target="media/image1.png"/><Relationship Id="rId32" Type="http://schemas.openxmlformats.org/officeDocument/2006/relationships/hyperlink" Target="https://www.scpm.gob.ec/sitio/wpcontent/uploads/2019/02/Estudio-contratacion-publica.pdf"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orcid.org/0009-0001-5026-4114" TargetMode="External"/><Relationship Id="rId23" Type="http://schemas.microsoft.com/office/2018/08/relationships/commentsExtensible" Target="commentsExtensible.xml"/><Relationship Id="rId28" Type="http://schemas.openxmlformats.org/officeDocument/2006/relationships/hyperlink" Target="https://vlex.cl/vid/capitulo-xx-mecanismos-control-1016869743"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doi.org/10.63688/afxytw28" TargetMode="External"/><Relationship Id="rId31" Type="http://schemas.openxmlformats.org/officeDocument/2006/relationships/hyperlink" Target="https://doi.org/10.23857/dc.v4i4.83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rcid.org/0009-0005-8224-5259" TargetMode="External"/><Relationship Id="rId22" Type="http://schemas.microsoft.com/office/2016/09/relationships/commentsIds" Target="commentsIds.xml"/><Relationship Id="rId27" Type="http://schemas.openxmlformats.org/officeDocument/2006/relationships/hyperlink" Target="https://doi.org/10.22201/fesc.20072236e.2019.10.18.6" TargetMode="External"/><Relationship Id="rId30" Type="http://schemas.openxmlformats.org/officeDocument/2006/relationships/hyperlink" Target="https://doi.org/10.1787/9789264265820-en" TargetMode="External"/><Relationship Id="rId35" Type="http://schemas.openxmlformats.org/officeDocument/2006/relationships/hyperlink" Target="https://repositorio.unesum.edu.ec/handle/53000/7423"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orcid.org/0000-0001-9125-9664" TargetMode="External"/><Relationship Id="rId17" Type="http://schemas.openxmlformats.org/officeDocument/2006/relationships/hyperlink" Target="https://orcid.org/0000-0002-1631-3330" TargetMode="External"/><Relationship Id="rId25" Type="http://schemas.openxmlformats.org/officeDocument/2006/relationships/hyperlink" Target="https://doi.org/10.1016/j.worlddev.2003.06.015" TargetMode="External"/><Relationship Id="rId33" Type="http://schemas.openxmlformats.org/officeDocument/2006/relationships/hyperlink" Target="https://www.transparency.org" TargetMode="External"/><Relationship Id="rId38"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doi.org/10.63688/afxytw28" TargetMode="External"/><Relationship Id="rId1" Type="http://schemas.openxmlformats.org/officeDocument/2006/relationships/hyperlink" Target="https://doi.org/10.63688/afxytw2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EA81EEA9171A14BAC1CD8E55F44D868" ma:contentTypeVersion="3" ma:contentTypeDescription="Crear nuevo documento." ma:contentTypeScope="" ma:versionID="c6fe5d981604da15f0d6615382d5e8bf">
  <xsd:schema xmlns:xsd="http://www.w3.org/2001/XMLSchema" xmlns:xs="http://www.w3.org/2001/XMLSchema" xmlns:p="http://schemas.microsoft.com/office/2006/metadata/properties" xmlns:ns2="ec524880-cfa6-4332-b849-d3417bf7eb98" targetNamespace="http://schemas.microsoft.com/office/2006/metadata/properties" ma:root="true" ma:fieldsID="98dc5c0925f57dc7b4cb69e739dd0a11" ns2:_="">
    <xsd:import namespace="ec524880-cfa6-4332-b849-d3417bf7eb9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524880-cfa6-4332-b849-d3417bf7eb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Bar24</b:Tag>
    <b:SourceType>JournalArticle</b:SourceType>
    <b:Guid>{83A5EA16-5580-43F8-B38E-A10998AD9C6F}</b:Guid>
    <b:Author>
      <b:Author>
        <b:NameList>
          <b:Person>
            <b:Last>Barahona</b:Last>
            <b:First>Martínez</b:First>
            <b:Middle>Jaime</b:Middle>
          </b:Person>
          <b:Person>
            <b:Last>Legerén</b:Last>
            <b:First>Lago</b:First>
            <b:Middle>Beatriz</b:Middle>
          </b:Person>
          <b:Person>
            <b:Last>Govantes</b:Last>
            <b:First>Carrasco</b:First>
            <b:Middle>Daniel</b:Middle>
          </b:Person>
        </b:NameList>
      </b:Author>
    </b:Author>
    <b:Title>Estructuras y técnicas narrativas de series tradicionales en contenidos de plataformas digitales</b:Title>
    <b:JournalName>Revista Internacional de Cultura Visual</b:JournalName>
    <b:Year>2024</b:Year>
    <b:Pages>321–332</b:Pages>
    <b:Volume>16</b:Volume>
    <b:Issue>3</b:Issue>
    <b:DOI>10.62161/revvisual.v16.5271</b:DOI>
    <b:RefOrder>1</b:RefOrder>
  </b:Source>
  <b:Source>
    <b:Tag>Ter23</b:Tag>
    <b:SourceType>JournalArticle</b:SourceType>
    <b:Guid>{A4D3E300-EB2A-44ED-8125-FBC60C7D6C1C}</b:Guid>
    <b:Author>
      <b:Author>
        <b:NameList>
          <b:Person>
            <b:Last>Terrón</b:Last>
            <b:First>Víctor</b:First>
          </b:Person>
          <b:Person>
            <b:Last>Mejía</b:Last>
            <b:First>Jezreel</b:First>
          </b:Person>
        </b:NameList>
      </b:Author>
    </b:Author>
    <b:Title>Mejoras propuestas para la implementación de la norma ISO/IEC 29110 utilizando lógica matemática</b:Title>
    <b:JournalName>SciElo; RISTI - Revista Ibérica de Sistemas y Tecnologías de la Información</b:JournalName>
    <b:Year>2023</b:Year>
    <b:Issue>49</b:Issue>
    <b:DOI>10.17013/risti.49.52-66 </b:DOI>
    <b:RefOrder>2</b:RefOrder>
  </b:Source>
  <b:Source>
    <b:Tag>Ure24</b:Tag>
    <b:SourceType>JournalArticle</b:SourceType>
    <b:Guid>{E5E06A3F-43A3-45DB-AD41-61DB053E9309}</b:Guid>
    <b:Author>
      <b:Author>
        <b:NameList>
          <b:Person>
            <b:Last>Ureña</b:Last>
            <b:First>Villamizar</b:First>
            <b:Middle>Yan Carlos</b:Middle>
          </b:Person>
          <b:Person>
            <b:Last>Henao</b:Last>
            <b:First>Gómez</b:First>
            <b:Middle>Mario Alberto</b:Middle>
          </b:Person>
          <b:Person>
            <b:Last>Vargas</b:Last>
            <b:First>Velásquez</b:First>
            <b:Middle>Oscar Andrés</b:Middle>
          </b:Person>
          <b:Person>
            <b:Last>Ramírez</b:Last>
            <b:First>Ramírez</b:First>
            <b:Middle>Juan Ricardo</b:Middle>
          </b:Person>
          <b:Person>
            <b:Last>Fernández</b:Last>
            <b:First>Nieto</b:First>
            <b:Middle>Ever Lafaid</b:Middle>
          </b:Person>
        </b:NameList>
      </b:Author>
    </b:Author>
    <b:Title>Ma-Tecn: Modelo Innovador para Fomentar Competencias Lógico-Matemáticas</b:Title>
    <b:JournalName>AiBi Revista de Investigación, Administración e Ingeniería</b:JournalName>
    <b:Year>2024</b:Year>
    <b:Volume>12</b:Volume>
    <b:Issue>2</b:Issue>
    <b:DOI>10.15649/2346030X.3781</b:DOI>
    <b:RefOrder>3</b:RefOrder>
  </b:Source>
  <b:Source>
    <b:Tag>Mar24</b:Tag>
    <b:SourceType>JournalArticle</b:SourceType>
    <b:Guid>{2555565A-9201-49CC-BD16-BA62D108DD48}</b:Guid>
    <b:Author>
      <b:Author>
        <b:NameList>
          <b:Person>
            <b:Last>Martínez</b:Last>
            <b:First>Silvia</b:First>
            <b:Middle>De Miguel López</b:Middle>
          </b:Person>
          <b:Person>
            <b:Last>Bernárdez</b:Last>
            <b:First>Gómez</b:First>
            <b:Middle>Abraham</b:Middle>
          </b:Person>
          <b:Person>
            <b:Last>Salmeron</b:Last>
            <b:First>Aroca</b:First>
            <b:Middle>Juan Antonio</b:Middle>
          </b:Person>
        </b:NameList>
      </b:Author>
    </b:Author>
    <b:Title>Análisis retrospectivo de la percepción sobre herramientas para el desarrollo de actividades colaborativas en entornos virtuales</b:Title>
    <b:JournalName>RIED-Revista Iberoamericana de Educación a Distancia</b:JournalName>
    <b:Year>2024</b:Year>
    <b:Pages>35–55</b:Pages>
    <b:Volume>27</b:Volume>
    <b:Issue>2</b:Issue>
    <b:DOI>10.5944/ried.27.2.38983</b:DOI>
    <b:RefOrder>4</b:RefOrder>
  </b:Source>
  <b:Source>
    <b:Tag>Del20</b:Tag>
    <b:SourceType>JournalArticle</b:SourceType>
    <b:Guid>{E34BB7AD-59B2-4787-9572-149CDB8C710E}</b:Guid>
    <b:Author>
      <b:Author>
        <b:NameList>
          <b:Person>
            <b:Last>Delgado</b:Last>
            <b:First>Meza</b:First>
            <b:Middle>Jesús Armando</b:Middle>
          </b:Person>
          <b:Person>
            <b:Last>Castro</b:Last>
            <b:First>Castro</b:First>
            <b:Middle>Martha Lenis</b:Middle>
          </b:Person>
          <b:Person>
            <b:Last>Jaime</b:Last>
            <b:First>Vivas</b:First>
            <b:Middle>Ricardo Vicente</b:Middle>
          </b:Person>
          <b:Person>
            <b:Last>Chinchilla</b:Last>
            <b:First>Rueda</b:First>
            <b:Middle>Alix Cecilia</b:Middle>
          </b:Person>
        </b:NameList>
      </b:Author>
    </b:Author>
    <b:Title>Herramientas de aprendizaje colaborativo utilizadas en programas de educación superior virtuales: una revisión sistemática de la literatura en Iberoamérica</b:Title>
    <b:JournalName>IEEE Xplore</b:JournalName>
    <b:Year>2020</b:Year>
    <b:DOI>10.23919/CISTI49556.2020.9140901</b:DOI>
    <b:RefOrder>5</b:RefOrder>
  </b:Source>
  <b:Source>
    <b:Tag>Leu19</b:Tag>
    <b:SourceType>JournalArticle</b:SourceType>
    <b:Guid>{6442EC3B-D024-4670-99C6-6A36B986BCC3}</b:Guid>
    <b:Author>
      <b:Author>
        <b:NameList>
          <b:Person>
            <b:Last>Leutprecht</b:Last>
            <b:First>Douglas</b:First>
            <b:Middle>Bahr</b:Middle>
          </b:Person>
          <b:Person>
            <b:Last>Dallabrida</b:Last>
            <b:First>Norberto</b:First>
          </b:Person>
        </b:NameList>
      </b:Author>
    </b:Author>
    <b:Title>Usos de la pedagogía racionalista en la Escuela Moderna Nº 1 de São Paulo (1913-1919)</b:Title>
    <b:JournalName>Historia y Memoria de la Educación</b:JournalName>
    <b:Year>2019</b:Year>
    <b:Pages>397–431</b:Pages>
    <b:Volume>11</b:Volume>
    <b:DOI>10.5944/hme.11.2020.23952</b:DOI>
    <b:RefOrder>6</b:RefOrder>
  </b:Source>
  <b:Source>
    <b:Tag>Ros23</b:Tag>
    <b:SourceType>JournalArticle</b:SourceType>
    <b:Guid>{9DF75832-157F-4F31-95B2-376F09750DFD}</b:Guid>
    <b:Author>
      <b:Author>
        <b:NameList>
          <b:Person>
            <b:Last>Rossetti</b:Last>
            <b:First>López</b:First>
            <b:Middle>Sergio Ramón</b:Middle>
          </b:Person>
          <b:Person>
            <b:Last>Coronado</b:Last>
            <b:First>García</b:First>
            <b:Middle>Manuel Arturo</b:Middle>
          </b:Person>
          <b:Person>
            <b:Last>Rojas</b:Last>
            <b:First>Rodríguez</b:First>
            <b:Middle>Isaac Shamir</b:Middle>
          </b:Person>
        </b:NameList>
      </b:Author>
    </b:Author>
    <b:Title>Percepción de los estudiantes sobre el uso de actividades interactivas con H5P</b:Title>
    <b:JournalName>Revista Iberoamericana De Educación Superior</b:JournalName>
    <b:Year>2023</b:Year>
    <b:Pages>59–76</b:Pages>
    <b:Volume>14</b:Volume>
    <b:Issue>40</b:Issue>
    <b:DOI>10.22201/iisue.20072872e.2023.40.1545</b:DOI>
    <b:RefOrder>7</b:RefOrder>
  </b:Source>
  <b:Source>
    <b:Tag>Cob24</b:Tag>
    <b:SourceType>JournalArticle</b:SourceType>
    <b:Guid>{57C81222-66E5-4CE2-940A-B288597FA1A0}</b:Guid>
    <b:Author>
      <b:Author>
        <b:NameList>
          <b:Person>
            <b:Last>Cobo</b:Last>
            <b:First>Rendón</b:First>
            <b:Middle>Rubia</b:Middle>
          </b:Person>
          <b:Person>
            <b:Last>López</b:Last>
            <b:First>Angulo</b:First>
            <b:Middle>Yaranay</b:Middle>
          </b:Person>
          <b:Person>
            <b:Last>Sáez</b:Last>
            <b:First>Delgado</b:First>
            <b:Middle>Fabiola</b:Middle>
          </b:Person>
          <b:Person>
            <b:Last>Mella</b:Last>
            <b:First>Norambuena</b:First>
            <b:Middle>Javier</b:Middle>
          </b:Person>
        </b:NameList>
      </b:Author>
    </b:Author>
    <b:Title>Explorando el bienestar estudiantil: El impacto de la percepción de autonomía en estudiantes de Psicología</b:Title>
    <b:JournalName>Revista De Ciencias Sociales</b:JournalName>
    <b:Year>2024</b:Year>
    <b:Pages>569-582</b:Pages>
    <b:Volume>30</b:Volume>
    <b:Issue>3</b:Issue>
    <b:DOI>10.31876/rcs.v30i3.42696</b:DOI>
    <b:RefOrder>8</b:RefOrder>
  </b:Source>
  <b:Source>
    <b:Tag>Dáv24</b:Tag>
    <b:SourceType>JournalArticle</b:SourceType>
    <b:Guid>{292C6C0D-BF3E-4568-B649-F6B122DEF4D3}</b:Guid>
    <b:Author>
      <b:Author>
        <b:NameList>
          <b:Person>
            <b:Last>Dávila</b:Last>
            <b:First>Ramírez</b:First>
            <b:Middle>Juan Romeo</b:Middle>
          </b:Person>
          <b:Person>
            <b:Last>Huertas</b:Last>
            <b:First>Martínez</b:First>
            <b:Middle>Juan Antonio</b:Middle>
          </b:Person>
        </b:NameList>
      </b:Author>
    </b:Author>
    <b:Title>Evaluación formativa y calidad de la retroalimentación: diseño y validación de escalas para profesores escolares</b:Title>
    <b:JournalName>Educacion XXI</b:JournalName>
    <b:Year>2024</b:Year>
    <b:Volume>27</b:Volume>
    <b:Issue>2</b:Issue>
    <b:DOI>10.5944/educxx1.38283</b:DOI>
    <b:RefOrder>9</b:RefOrder>
  </b:Source>
  <b:Source>
    <b:Tag>Orj24</b:Tag>
    <b:SourceType>JournalArticle</b:SourceType>
    <b:Guid>{0F2D3E5E-D43D-420A-85C8-59D8EA4A68D4}</b:Guid>
    <b:Author>
      <b:Author>
        <b:NameList>
          <b:Person>
            <b:Last>Orjuela</b:Last>
            <b:First>Roa</b:First>
            <b:Middle>Cristian Harrison</b:Middle>
          </b:Person>
          <b:Person>
            <b:Last>Bustos</b:Last>
            <b:First>Fuentes</b:First>
            <b:Middle>Yeimy Katherine</b:Middle>
          </b:Person>
          <b:Person>
            <b:Last>Plaza</b:Last>
            <b:First>Maldonado</b:First>
            <b:Middle>Rodrigo</b:Middle>
          </b:Person>
          <b:Person>
            <b:Last>Lesmes</b:Last>
            <b:First>Martínez</b:First>
            <b:Middle>Óscar Mauricio</b:Middle>
          </b:Person>
          <b:Person>
            <b:Last>Castañeda</b:Last>
            <b:First>Polanco</b:First>
            <b:Middle>Juan Gabriel</b:Middle>
          </b:Person>
        </b:NameList>
      </b:Author>
    </b:Author>
    <b:Title>Evaluación de aprendizajes desde un eje articulador: una experiencia formativa</b:Title>
    <b:JournalName>Salud, Ciencia y Tecnología</b:JournalName>
    <b:Year>2024</b:Year>
    <b:Volume>4</b:Volume>
    <b:DOI>10.56294/saludcyt2024.983</b:DOI>
    <b:RefOrder>10</b:RefOrder>
  </b:Source>
  <b:Source>
    <b:Tag>Her243</b:Tag>
    <b:SourceType>JournalArticle</b:SourceType>
    <b:Guid>{53B5F753-838C-4C9F-B901-6C0F8F37D624}</b:Guid>
    <b:Author>
      <b:Author>
        <b:NameList>
          <b:Person>
            <b:Last>Hernández</b:Last>
            <b:First>Sellés</b:First>
            <b:Middle>Núria</b:Middle>
          </b:Person>
          <b:Person>
            <b:Last>Muñoz</b:Last>
            <b:First>Carril</b:First>
            <b:Middle>Pablo César</b:Middle>
          </b:Person>
          <b:Person>
            <b:Last>González</b:Last>
            <b:First>Sanmamed</b:First>
            <b:Middle>Mercedes</b:Middle>
          </b:Person>
        </b:NameList>
      </b:Author>
    </b:Author>
    <b:Title>Aprendizaje colaborativo en entornos digitales</b:Title>
    <b:JournalName>RIED-Revista Iberoamericana de Educación a Distancia</b:JournalName>
    <b:Year>2024</b:Year>
    <b:Volume>27</b:Volume>
    <b:Issue>2</b:Issue>
    <b:DOI>10.5944/ried.27.2.40208</b:DOI>
    <b:RefOrder>11</b:RefOrder>
  </b:Source>
  <b:Source>
    <b:Tag>Rom21</b:Tag>
    <b:SourceType>ConferenceProceedings</b:SourceType>
    <b:Guid>{4DAFE153-6991-4F8D-98B7-8EDDDDAE2C06}</b:Guid>
    <b:Title>Necesidad de formular estándares para el uso de herramientas digitales en campus virtuales: un estudio experimental</b:Title>
    <b:Year>2021</b:Year>
    <b:DOI>10.23919/CISTI52073.2021.9476530</b:DOI>
    <b:ConferenceName>XVI Congreso Ibérico de Sistemas y Tecnologías de la Información (CISTI) 2021</b:ConferenceName>
    <b:City>Chaves, Portugal</b:City>
    <b:Publisher>IEEE Xplore</b:Publisher>
    <b:URL>https://ieeexplore.ieee.org/document/9476530</b:URL>
    <b:Author>
      <b:Author>
        <b:NameList>
          <b:Person>
            <b:Last>Romero</b:Last>
            <b:First>Moreno</b:First>
            <b:Middle>Luisa María</b:Middle>
          </b:Person>
        </b:NameList>
      </b:Author>
    </b:Author>
    <b:RefOrder>12</b:RefOrder>
  </b:Source>
  <b:Source>
    <b:Tag>Vie24</b:Tag>
    <b:SourceType>JournalArticle</b:SourceType>
    <b:Guid>{6471784C-AEA3-4C59-83FE-60DFD0A26B79}</b:Guid>
    <b:Title>Estrategias para el desarrollo de habilidades duras en estudiantes de educación superior a través de tecnologías pedagógicas innovadoras en entornos profesionales realistas</b:Title>
    <b:Year>2024</b:Year>
    <b:DOI>10.56294/sctconf20241147</b:DOI>
    <b:Author>
      <b:Author>
        <b:NameList>
          <b:Person>
            <b:Last>Vieilandia</b:Last>
            <b:First>Lilia</b:First>
          </b:Person>
          <b:Person>
            <b:Last>Soloveichuk</b:Last>
            <b:First>Elena</b:First>
          </b:Person>
          <b:Person>
            <b:Last>Petryk</b:Last>
            <b:First>Lada</b:First>
          </b:Person>
          <b:Person>
            <b:Last>Kosharna</b:Last>
            <b:First>Natalia</b:First>
          </b:Person>
          <b:Person>
            <b:Last>Dzhurylo</b:Last>
            <b:First>Alina</b:First>
          </b:Person>
        </b:NameList>
      </b:Author>
    </b:Author>
    <b:JournalName>Salud, Ciencia y Tecnología</b:JournalName>
    <b:Volume>3</b:Volume>
    <b:RefOrder>13</b:RefOrder>
  </b:Source>
  <b:Source>
    <b:Tag>Nov23</b:Tag>
    <b:SourceType>JournalArticle</b:SourceType>
    <b:Guid>{6F50B249-C308-457A-A451-7800FF6738BB}</b:Guid>
    <b:Author>
      <b:Author>
        <b:NameList>
          <b:Person>
            <b:Last>Novella</b:Last>
            <b:First>García</b:First>
            <b:Middle>Carlos</b:Middle>
          </b:Person>
          <b:Person>
            <b:Last>Stigliano</b:Last>
            <b:First>Daniel</b:First>
            <b:Middle>Ernesto</b:Middle>
          </b:Person>
        </b:NameList>
      </b:Author>
    </b:Author>
    <b:Title>La emergencia educativa ante el desafío pandémico mundial. La brecha digital y la falta de igualdad de oportunidades</b:Title>
    <b:JournalName>Revista Complutense de Educación</b:JournalName>
    <b:Year>2023</b:Year>
    <b:Pages>617-627</b:Pages>
    <b:Volume>34</b:Volume>
    <b:Issue>3</b:Issue>
    <b:DOI>10.5209/rced.79859</b:DOI>
    <b:RefOrder>14</b:RefOrder>
  </b:Source>
  <b:Source>
    <b:Tag>Orb24</b:Tag>
    <b:SourceType>JournalArticle</b:SourceType>
    <b:Guid>{7B4D6780-1370-4F89-B25D-6A9FC5A40624}</b:Guid>
    <b:Author>
      <b:Author>
        <b:NameList>
          <b:Person>
            <b:Last>Orbegoso</b:Last>
            <b:First>Dávila</b:First>
            <b:Middle>Luis</b:Middle>
          </b:Person>
          <b:Person>
            <b:Last>Vásquez</b:Last>
            <b:First>Alburqueque</b:First>
            <b:Middle>Iris Liliana</b:Middle>
          </b:Person>
          <b:Person>
            <b:Last>Ledesma</b:Last>
            <b:First>Pérez</b:First>
            <b:Middle>Fernando</b:Middle>
          </b:Person>
          <b:Person>
            <b:Last>Chunga</b:Last>
            <b:First>Amaya</b:First>
            <b:Middle>Wilson Hugo</b:Middle>
          </b:Person>
        </b:NameList>
      </b:Author>
    </b:Author>
    <b:Title>Carga cognitiva en el aprendizaje colaborativo: Una revisión sistemática</b:Title>
    <b:JournalName>Revista De Ciencias Sociales</b:JournalName>
    <b:Year>2024</b:Year>
    <b:Pages>387-402</b:Pages>
    <b:Volume>30</b:Volume>
    <b:Issue>2</b:Issue>
    <b:DOI>10.31876/rcs.v30i2.41917</b:DOI>
    <b:RefOrder>15</b:RefOrder>
  </b:Source>
  <b:Source>
    <b:Tag>Nad18</b:Tag>
    <b:SourceType>JournalArticle</b:SourceType>
    <b:Guid>{D657A3DD-E1C8-4729-BAE3-38B30DFC6CFE}</b:Guid>
    <b:Author>
      <b:Author>
        <b:NameList>
          <b:Person>
            <b:Last>Nadelson</b:Last>
            <b:First>Luis</b:First>
            <b:Middle>S.</b:Middle>
          </b:Person>
          <b:Person>
            <b:Last>Heddy</b:Last>
            <b:First>Benjamín</b:First>
            <b:Middle>C.</b:Middle>
          </b:Person>
          <b:Person>
            <b:Last>Jones</b:Last>
            <b:First>Suzanne</b:First>
          </b:Person>
          <b:Person>
            <b:Last>Taasoobshirazi</b:Last>
            <b:First>Gita</b:First>
          </b:Person>
          <b:Person>
            <b:Last>Johnson</b:Last>
            <b:First>Marcus</b:First>
          </b:Person>
        </b:NameList>
      </b:Author>
    </b:Author>
    <b:Title>Cambio conceptual en la enseñanza y el aprendizaje de las ciencias: introducción al modelo dinámico del cambio conceptual</b:Title>
    <b:JournalName>Revista internacional de psicología educativa </b:JournalName>
    <b:Year>2018</b:Year>
    <b:Pages>151–195</b:Pages>
    <b:Volume>7</b:Volume>
    <b:Issue>2</b:Issue>
    <b:DOI>10.17583/ijep.2018.3349</b:DOI>
    <b:RefOrder>16</b:RefOrder>
  </b:Source>
  <b:Source>
    <b:Tag>Sil22</b:Tag>
    <b:SourceType>JournalArticle</b:SourceType>
    <b:Guid>{527DF8DD-D962-4FFB-9DC5-C59C3DE81730}</b:Guid>
    <b:Author>
      <b:Author>
        <b:NameList>
          <b:Person>
            <b:Last>Silva</b:Last>
            <b:First>Monsalve</b:First>
            <b:Middle>Alexandra María</b:Middle>
          </b:Person>
          <b:Person>
            <b:Last>Bohórquez</b:Last>
            <b:First>Ramírez</b:First>
            <b:Middle>Gabriela</b:Middle>
          </b:Person>
        </b:NameList>
      </b:Author>
    </b:Author>
    <b:Title>Design and Validation of the Software for Strengthening Logical Mathematical Thinking (Logical Brain)</b:Title>
    <b:JournalName>ECHNO REVIEW. International Technology, Science and Society Review Revista Internacional De Tecnología, Ciencia Y Sociedad</b:JournalName>
    <b:Year>2022</b:Year>
    <b:Pages>1-12</b:Pages>
    <b:Volume>11</b:Volume>
    <b:Issue>1</b:Issue>
    <b:DOI>10.37467/gkarevtechno.v11.2857</b:DOI>
    <b:RefOrder>17</b:RefOrder>
  </b:Source>
  <b:Source>
    <b:Tag>Car22</b:Tag>
    <b:SourceType>JournalArticle</b:SourceType>
    <b:Guid>{E6463970-376A-4FCC-9822-E9E6732EA6F4}</b:Guid>
    <b:Author>
      <b:Author>
        <b:NameList>
          <b:Person>
            <b:Last>Carvajal</b:Last>
            <b:First>Christian</b:First>
            <b:Middle>Alfaro</b:Middle>
          </b:Person>
          <b:Person>
            <b:Last>Flores</b:Last>
            <b:First>Martínez</b:First>
            <b:Middle>Pablo</b:Middle>
          </b:Person>
          <b:Person>
            <b:Last>Valverde</b:Last>
            <b:First>Soto</b:First>
            <b:Middle>Gabriela</b:Middle>
          </b:Person>
        </b:NameList>
      </b:Author>
    </b:Author>
    <b:Title>Conocimientos de los profesores de matemáticas en formación inicial respecto a las demostraciones matemáticas: Aspectos lógico-matemáticos en la evaluación de argumentos</b:Title>
    <b:JournalName>Uniciencia</b:JournalName>
    <b:Year>2022</b:Year>
    <b:Pages>1-25</b:Pages>
    <b:Volume>36</b:Volume>
    <b:Issue>1</b:Issue>
    <b:DOI>10.15359/ru.36-1.9</b:DOI>
    <b:RefOrder>18</b:RefOrder>
  </b:Source>
  <b:Source>
    <b:Tag>Pin20</b:Tag>
    <b:SourceType>Book</b:SourceType>
    <b:Guid>{7805C669-E9A4-4BAC-9D8D-B066DE3B4115}</b:Guid>
    <b:Author>
      <b:Author>
        <b:Corporate>Ping,, L. Y., Heng, L. K., Ean, T. C., &amp; Kai, O. J.</b:Corporate>
      </b:Author>
    </b:Author>
    <b:Title>Investigación sobre la eficacia de un concurso interuniversitario de acciones para fomentar la cultura bursátil entre los jóvenes.</b:Title>
    <b:Year>2020</b:Year>
    <b:Publisher>International Journal of Academic Research in Business and Social Sciences</b:Publisher>
    <b:Pages> 10(5), 86-101.</b:Pages>
    <b:RefOrder>1</b:RefOrder>
  </b:Source>
  <b:Source>
    <b:Tag>Obe24</b:Tag>
    <b:SourceType>Report</b:SourceType>
    <b:Guid>{313AF540-E936-45D4-A5F2-F917EF93B8CE}</b:Guid>
    <b:Title>Financial Education or Incentivizing Learning-By-Doing?</b:Title>
    <b:Year>2024</b:Year>
    <b:Publisher>ScienceDirect. </b:Publisher>
    <b:Author>
      <b:Author>
        <b:Corporate>Oberrauch, L., et al. </b:Corporate>
      </b:Author>
    </b:Author>
    <b:URL> https://doi.org/10.1016/j.jbef.2024.100954</b:URL>
    <b:RefOrder>2</b:RefOrder>
  </b:Source>
  <b:Source>
    <b:Tag>Ort21</b:Tag>
    <b:SourceType>Report</b:SourceType>
    <b:Guid>{2C9C33D3-4AC0-4D66-BC5E-C8446404FCEB}</b:Guid>
    <b:Author>
      <b:Author>
        <b:Corporate>Ortega, M. V., Montes, L. S. P., &amp; Paz, D. M. Á.  </b:Corporate>
      </b:Author>
    </b:Author>
    <b:Title>Los simuladores educativos como instrumento pedagógico para la enseñanza de las finanzas.</b:Title>
    <b:Year>2021</b:Year>
    <b:Publisher>Revista Boletín Redipe</b:Publisher>
    <b:Pages>10(7), 97-105.</b:Pages>
    <b:DOI> https://doi.org/10.36260/rbr.v10i7.1351</b:DOI>
    <b:RefOrder>3</b:RefOrder>
  </b:Source>
  <b:Source>
    <b:Tag>Sil20</b:Tag>
    <b:SourceType>Report</b:SourceType>
    <b:Guid>{1D15F4C9-7FBC-4904-B8AA-3E56CBF9C96F}</b:Guid>
    <b:Author>
      <b:Author>
        <b:Corporate>Silva, J. P. C., Pinargote, H. M. P., &amp; Aveiga, K. L. S. </b:Corporate>
      </b:Author>
    </b:Author>
    <b:Title>Contribución del mercado bursátil al crecimiento y modernización de la economía Ecuatoriana.</b:Title>
    <b:Year>2020</b:Year>
    <b:Publisher>Revista Venezolana de Gerencia: RVG</b:Publisher>
    <b:City>Venezuela</b:City>
    <b:Pages>25(89), 37-54.</b:Pages>
    <b:URL>https://dialnet.unirioja.es/servlet/articulo?codigo=8890252</b:URL>
    <b:RefOrder>4</b:RefOrder>
  </b:Source>
  <b:Source>
    <b:Tag>Sup15</b:Tag>
    <b:SourceType>InternetSite</b:SourceType>
    <b:Guid>{2F883C12-1BC2-4D89-8FA5-B0FADD32598E}</b:Guid>
    <b:Title>Estudio de Compras Públicas y Competencia en el Ecuador</b:Title>
    <b:Year>2015</b:Year>
    <b:Author>
      <b:Author>
        <b:Corporate>Superintendencia de Control del Poder de Mercado</b:Corporate>
      </b:Author>
    </b:Author>
    <b:Month>octubre</b:Month>
    <b:Day>30</b:Day>
    <b:URL>https://www.scpm.gob.ec/sitio/wpcontent/uploads/2019/02/Estudio-contratacion-publica.pdf</b:URL>
    <b:YearAccessed>2026</b:YearAccessed>
    <b:MonthAccessed>febrero</b:MonthAccessed>
    <b:DayAccessed>03</b:DayAccessed>
    <b:RefOrder>1</b:RefOrder>
  </b:Source>
  <b:Source>
    <b:Tag>Con25</b:Tag>
    <b:SourceType>InternetSite</b:SourceType>
    <b:Guid>{368C878B-87DE-4BD3-82F4-89262C56CDAF}</b:Guid>
    <b:Author>
      <b:Author>
        <b:Corporate>Contraloría General del Estado</b:Corporate>
      </b:Author>
    </b:Author>
    <b:Title>Historia</b:Title>
    <b:Year>2025</b:Year>
    <b:Month>julio</b:Month>
    <b:Day>3</b:Day>
    <b:URL>https://www.contraloria.gob.ec/lainstitucion/historia/historiacge</b:URL>
    <b:YearAccessed>2026</b:YearAccessed>
    <b:MonthAccessed>febrero</b:MonthAccessed>
    <b:DayAccessed>02</b:DayAccessed>
    <b:RefOrder>2</b:RefOrder>
  </b:Source>
  <b:Source>
    <b:Tag>Vis21</b:Tag>
    <b:SourceType>Report</b:SourceType>
    <b:Guid>{D42CDD36-0985-4204-BAF3-291DC2CAA7DF}</b:Guid>
    <b:Author>
      <b:Author>
        <b:NameList>
          <b:Person>
            <b:Last>Viscarra</b:Last>
            <b:First>Oscar</b:First>
          </b:Person>
        </b:NameList>
      </b:Author>
    </b:Author>
    <b:Title>Evolución histórica de la contratación pública en el Ecuador y su vinculación con la planificación nacional </b:Title>
    <b:Year>2021</b:Year>
    <b:Publisher>Universidad Andina Simón Bolívar</b:Publisher>
    <b:City>Quito</b:City>
    <b:RefOrder>3</b:RefOrder>
  </b:Source>
  <b:Source>
    <b:Tag>Qui18</b:Tag>
    <b:SourceType>Report</b:SourceType>
    <b:Guid>{FA898821-4CF9-4321-A910-61EB1CF93370}</b:Guid>
    <b:Author>
      <b:Author>
        <b:NameList>
          <b:Person>
            <b:Last>Quinaluisa</b:Last>
            <b:First>Nancy</b:First>
          </b:Person>
          <b:Person>
            <b:Last>Ponce</b:Last>
            <b:First>Verónica</b:First>
          </b:Person>
          <b:Person>
            <b:Last>Muñoz</b:Last>
            <b:First>Sandra</b:First>
          </b:Person>
          <b:Person>
            <b:Last>Ortega</b:Last>
            <b:First>Xavier</b:First>
          </b:Person>
          <b:Person>
            <b:Last>Jazmín</b:Last>
            <b:First>Pérez</b:First>
          </b:Person>
        </b:NameList>
      </b:Author>
    </b:Author>
    <b:Title>El control interno y sus herramientas de aplicación entre COSO y COCO</b:Title>
    <b:Year>2018</b:Year>
    <b:Publisher> Universidad Estatal Península de Santa Elena</b:Publisher>
    <b:City>Santa Elena</b:City>
    <b:JournalName>La Habana</b:JournalName>
    <b:RefOrder>4</b:RefOrder>
  </b:Source>
  <b:Source>
    <b:Tag>Vil24</b:Tag>
    <b:SourceType>Report</b:SourceType>
    <b:Guid>{725D976A-34DC-4139-8A62-E2FC3F08B514}</b:Guid>
    <b:Author>
      <b:Author>
        <b:NameList>
          <b:Person>
            <b:Last>Villaprado</b:Last>
            <b:First>Jairo</b:First>
          </b:Person>
        </b:NameList>
      </b:Author>
    </b:Author>
    <b:Title>El proceso Administrativo en la ejecución de proyectos del departamento de obras públicas del Gobierno Autónomo Descentralizado Municipal de Portoviejo</b:Title>
    <b:Year>2024</b:Year>
    <b:Publisher>Universidad Estatal del Sur de Manabí UNESUM</b:Publisher>
    <b:City>Jipijapa</b:City>
    <b:RefOrder>5</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5E0082-0359-44FB-9387-12FC8F8FEBBF}">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3871255E-F428-41A8-A0DB-AF98C5CCA2C4}">
  <ds:schemaRefs>
    <ds:schemaRef ds:uri="http://schemas.microsoft.com/office/2006/metadata/contentType"/>
    <ds:schemaRef ds:uri="http://schemas.microsoft.com/office/2006/metadata/properties/metaAttributes"/>
    <ds:schemaRef ds:uri="http://www.w3.org/2000/xmlns/"/>
    <ds:schemaRef ds:uri="http://www.w3.org/2001/XMLSchema"/>
    <ds:schemaRef ds:uri="ec524880-cfa6-4332-b849-d3417bf7eb98"/>
  </ds:schemaRefs>
</ds:datastoreItem>
</file>

<file path=customXml/itemProps3.xml><?xml version="1.0" encoding="utf-8"?>
<ds:datastoreItem xmlns:ds="http://schemas.openxmlformats.org/officeDocument/2006/customXml" ds:itemID="{6E3DA2F6-7C96-4508-AA8E-E3AED6C018A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97EFD3C6-2AD3-4D00-8249-BAF620F755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6934</Words>
  <Characters>38138</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Darwin Lozada</dc:creator>
  <cp:keywords/>
  <dc:description/>
  <cp:lastModifiedBy>Tatiana Celleri</cp:lastModifiedBy>
  <cp:revision>2</cp:revision>
  <cp:lastPrinted>2025-12-06T06:01:00Z</cp:lastPrinted>
  <dcterms:created xsi:type="dcterms:W3CDTF">2026-09-09T21:13:00Z</dcterms:created>
  <dcterms:modified xsi:type="dcterms:W3CDTF">2026-09-09T21:13:00Z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0x0101009EA81EEA9171A14BAC1CD8E55F44D868</vt:lpwstr>
  </property>
  <property fmtid="{D5CDD505-2E9C-101B-9397-08002B2CF9AE}" pid="3" name="MediaServiceImageTags">
    <vt:lpwstr/>
  </property>
</Properties>
</file>